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line="620" w:lineRule="exact"/>
        <w:ind w:left="480" w:right="0" w:rightChars="0"/>
        <w:jc w:val="center"/>
        <w:textAlignment w:val="auto"/>
        <w:rPr>
          <w:b/>
          <w:bCs/>
          <w:sz w:val="44"/>
          <w:szCs w:val="44"/>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中共兰州市委机构编制委员会办公室</w:t>
      </w: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lang w:eastAsia="zh-CN"/>
        </w:rPr>
        <w:t>电子政务中心</w:t>
      </w: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22</w:t>
      </w:r>
      <w:r>
        <w:rPr>
          <w:rFonts w:hint="eastAsia" w:ascii="方正小标宋简体" w:hAnsi="方正小标宋简体" w:eastAsia="方正小标宋简体" w:cs="方正小标宋简体"/>
          <w:b/>
          <w:bCs/>
          <w:sz w:val="44"/>
          <w:szCs w:val="44"/>
        </w:rPr>
        <w:t>年度部门预算</w:t>
      </w:r>
      <w:r>
        <w:rPr>
          <w:rFonts w:hint="eastAsia" w:ascii="方正小标宋简体" w:hAnsi="方正小标宋简体" w:eastAsia="方正小标宋简体" w:cs="方正小标宋简体"/>
          <w:b/>
          <w:bCs/>
          <w:sz w:val="44"/>
          <w:szCs w:val="44"/>
          <w:lang w:eastAsia="zh-CN"/>
        </w:rPr>
        <w:t>目录</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部门职责</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机构</w:t>
      </w:r>
      <w:r>
        <w:rPr>
          <w:rFonts w:hint="eastAsia" w:ascii="黑体" w:hAnsi="黑体" w:eastAsia="黑体" w:cs="黑体"/>
          <w:sz w:val="32"/>
          <w:szCs w:val="32"/>
          <w:lang w:eastAsia="zh-CN"/>
        </w:rPr>
        <w:t>及人员</w:t>
      </w:r>
      <w:r>
        <w:rPr>
          <w:rFonts w:hint="eastAsia" w:ascii="黑体" w:hAnsi="黑体" w:eastAsia="黑体" w:cs="黑体"/>
          <w:sz w:val="32"/>
          <w:szCs w:val="32"/>
        </w:rPr>
        <w:t>设置情况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四、机关运行经费安排情况明细及增减变动情况说明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五、政府采购预算情况说明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六、国有资产占用情况说明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七、预算绩效管理情况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八、名词解释</w:t>
      </w: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numPr>
          <w:ilvl w:val="0"/>
          <w:numId w:val="0"/>
        </w:numPr>
        <w:kinsoku/>
        <w:wordWrap/>
        <w:overflowPunct/>
        <w:topLinePunct w:val="0"/>
        <w:bidi w:val="0"/>
        <w:spacing w:line="620" w:lineRule="exact"/>
        <w:ind w:right="0" w:rightChars="0" w:firstLine="643" w:firstLineChars="200"/>
        <w:jc w:val="left"/>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b/>
          <w:bCs/>
          <w:sz w:val="32"/>
          <w:szCs w:val="32"/>
        </w:rPr>
      </w:pP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w:t>
      </w:r>
    </w:p>
    <w:p>
      <w:pPr>
        <w:pStyle w:val="7"/>
        <w:keepNext w:val="0"/>
        <w:keepLines w:val="0"/>
        <w:pageBreakBefore w:val="0"/>
        <w:widowControl/>
        <w:shd w:val="clear" w:color="auto" w:fill="FFFFFF"/>
        <w:kinsoku/>
        <w:wordWrap/>
        <w:overflowPunct/>
        <w:topLinePunct w:val="0"/>
        <w:bidi w:val="0"/>
        <w:spacing w:beforeAutospacing="0" w:afterAutospacing="0" w:line="620" w:lineRule="exact"/>
        <w:ind w:firstLine="645"/>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中共兰州市机构编制委员会办公室电子政务中心，是财政全额拨款事业单位单位，主要职能是研究拟订全市机构编制部门电子政务发展规划并组织实施；负责市委编办机关电子政务和信息化建设日常工作；负责市委编办办公自动化和网站建设；负责机构编制管理方面网上相关信息的分析工作；负责全市机构编制实名制管理信息化工作；负责机关事业单位网上域名的注册管理工作，协调全市机构编制部门电子政务和信息化建设工作；承办全市机构编制统计的数据汇总、统计分析及培训等工作。</w:t>
      </w:r>
    </w:p>
    <w:p>
      <w:pPr>
        <w:keepNext w:val="0"/>
        <w:keepLines w:val="0"/>
        <w:pageBreakBefore w:val="0"/>
        <w:numPr>
          <w:ilvl w:val="0"/>
          <w:numId w:val="1"/>
        </w:numPr>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机构</w:t>
      </w:r>
      <w:r>
        <w:rPr>
          <w:rFonts w:hint="eastAsia" w:ascii="黑体" w:hAnsi="黑体" w:eastAsia="黑体" w:cs="黑体"/>
          <w:sz w:val="32"/>
          <w:szCs w:val="32"/>
          <w:lang w:eastAsia="zh-CN"/>
        </w:rPr>
        <w:t>及人员</w:t>
      </w:r>
      <w:r>
        <w:rPr>
          <w:rFonts w:hint="eastAsia" w:ascii="黑体" w:hAnsi="黑体" w:eastAsia="黑体" w:cs="黑体"/>
          <w:sz w:val="32"/>
          <w:szCs w:val="32"/>
        </w:rPr>
        <w:t>设置情况</w:t>
      </w:r>
    </w:p>
    <w:p>
      <w:pPr>
        <w:keepNext w:val="0"/>
        <w:keepLines w:val="0"/>
        <w:pageBreakBefore w:val="0"/>
        <w:numPr>
          <w:ilvl w:val="0"/>
          <w:numId w:val="0"/>
        </w:numPr>
        <w:kinsoku/>
        <w:wordWrap/>
        <w:overflowPunct/>
        <w:topLinePunct w:val="0"/>
        <w:bidi w:val="0"/>
        <w:spacing w:line="620" w:lineRule="exact"/>
        <w:ind w:right="0" w:righ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1、机构设置情况</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机构编制委员会办公室电子政务中心</w:t>
      </w:r>
      <w:r>
        <w:rPr>
          <w:rFonts w:hint="eastAsia" w:ascii="仿宋_GB2312" w:hAnsi="仿宋_GB2312" w:eastAsia="仿宋_GB2312" w:cs="仿宋_GB2312"/>
          <w:kern w:val="0"/>
          <w:sz w:val="32"/>
          <w:szCs w:val="32"/>
          <w:lang w:val="en-US" w:eastAsia="zh-CN"/>
        </w:rPr>
        <w:t>为</w:t>
      </w:r>
      <w:r>
        <w:rPr>
          <w:rFonts w:hint="eastAsia" w:ascii="仿宋_GB2312" w:hAnsi="仿宋_GB2312" w:eastAsia="仿宋_GB2312" w:cs="仿宋_GB2312"/>
          <w:kern w:val="0"/>
          <w:sz w:val="32"/>
          <w:szCs w:val="32"/>
          <w:lang w:eastAsia="zh-CN"/>
        </w:rPr>
        <w:t>市委编办</w:t>
      </w:r>
      <w:r>
        <w:rPr>
          <w:rFonts w:hint="eastAsia" w:ascii="仿宋_GB2312" w:hAnsi="仿宋_GB2312" w:eastAsia="仿宋_GB2312" w:cs="仿宋_GB2312"/>
          <w:kern w:val="0"/>
          <w:sz w:val="32"/>
          <w:szCs w:val="32"/>
        </w:rPr>
        <w:t>下属</w:t>
      </w:r>
      <w:r>
        <w:rPr>
          <w:rFonts w:hint="eastAsia" w:ascii="仿宋_GB2312" w:hAnsi="仿宋_GB2312" w:eastAsia="仿宋_GB2312" w:cs="仿宋_GB2312"/>
          <w:kern w:val="0"/>
          <w:sz w:val="32"/>
          <w:szCs w:val="32"/>
          <w:lang w:eastAsia="zh-CN"/>
        </w:rPr>
        <w:t>事业</w:t>
      </w: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事业性质，公益一类事业单位，</w:t>
      </w:r>
      <w:r>
        <w:rPr>
          <w:rFonts w:hint="eastAsia" w:ascii="仿宋_GB2312" w:hAnsi="仿宋_GB2312" w:eastAsia="仿宋_GB2312" w:cs="仿宋_GB2312"/>
          <w:kern w:val="0"/>
          <w:sz w:val="32"/>
          <w:szCs w:val="32"/>
        </w:rPr>
        <w:t>科级建制，财政全额拨款。</w:t>
      </w:r>
    </w:p>
    <w:p>
      <w:pPr>
        <w:keepNext w:val="0"/>
        <w:keepLines w:val="0"/>
        <w:pageBreakBefore w:val="0"/>
        <w:numPr>
          <w:ilvl w:val="0"/>
          <w:numId w:val="0"/>
        </w:numPr>
        <w:kinsoku/>
        <w:wordWrap/>
        <w:overflowPunct/>
        <w:topLinePunct w:val="0"/>
        <w:bidi w:val="0"/>
        <w:spacing w:line="62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2、人员编制情况</w:t>
      </w:r>
    </w:p>
    <w:p>
      <w:pPr>
        <w:keepNext w:val="0"/>
        <w:keepLines w:val="0"/>
        <w:pageBreakBefore w:val="0"/>
        <w:widowControl/>
        <w:kinsoku/>
        <w:wordWrap/>
        <w:overflowPunct/>
        <w:topLinePunct w:val="0"/>
        <w:autoSpaceDE/>
        <w:autoSpaceDN/>
        <w:bidi w:val="0"/>
        <w:spacing w:before="100" w:after="100"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市委编办电子政务中心核定</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2021年底市委编办</w:t>
      </w:r>
      <w:r>
        <w:rPr>
          <w:rFonts w:hint="eastAsia" w:ascii="仿宋_GB2312" w:hAnsi="仿宋_GB2312" w:eastAsia="仿宋_GB2312" w:cs="仿宋_GB2312"/>
          <w:sz w:val="32"/>
          <w:szCs w:val="32"/>
          <w:lang w:eastAsia="zh-CN"/>
        </w:rPr>
        <w:t>政务中心</w:t>
      </w:r>
      <w:r>
        <w:rPr>
          <w:rFonts w:hint="eastAsia" w:ascii="仿宋_GB2312" w:hAnsi="仿宋_GB2312" w:eastAsia="仿宋_GB2312" w:cs="仿宋_GB2312"/>
          <w:sz w:val="32"/>
          <w:szCs w:val="32"/>
        </w:rPr>
        <w:t>实有</w:t>
      </w:r>
      <w:r>
        <w:rPr>
          <w:rFonts w:hint="eastAsia" w:ascii="仿宋_GB2312" w:hAnsi="仿宋_GB2312" w:eastAsia="仿宋_GB2312" w:cs="仿宋_GB2312"/>
          <w:sz w:val="32"/>
          <w:szCs w:val="32"/>
          <w:lang w:eastAsia="zh-CN"/>
        </w:rPr>
        <w:t>在职人员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widowControl/>
        <w:kinsoku/>
        <w:wordWrap/>
        <w:overflowPunct/>
        <w:topLinePunct w:val="0"/>
        <w:bidi w:val="0"/>
        <w:snapToGrid w:val="0"/>
        <w:spacing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sz w:val="32"/>
          <w:szCs w:val="32"/>
          <w:shd w:val="clear" w:color="auto" w:fill="FFFFFF"/>
        </w:rPr>
        <w:t>2022年预算共安排资金</w:t>
      </w:r>
      <w:r>
        <w:rPr>
          <w:rFonts w:hint="eastAsia" w:ascii="仿宋_GB2312" w:hAnsi="仿宋_GB2312" w:eastAsia="仿宋_GB2312" w:cs="仿宋_GB2312"/>
          <w:sz w:val="32"/>
          <w:szCs w:val="32"/>
          <w:shd w:val="clear" w:color="auto" w:fill="FFFFFF"/>
          <w:lang w:val="en-US" w:eastAsia="zh-CN"/>
        </w:rPr>
        <w:t>70.08</w:t>
      </w:r>
      <w:r>
        <w:rPr>
          <w:rFonts w:hint="eastAsia" w:ascii="仿宋_GB2312" w:hAnsi="仿宋_GB2312" w:eastAsia="仿宋_GB2312" w:cs="仿宋_GB2312"/>
          <w:sz w:val="32"/>
          <w:szCs w:val="32"/>
          <w:shd w:val="clear" w:color="auto" w:fill="FFFFFF"/>
        </w:rPr>
        <w:t>万元，较上年减少</w:t>
      </w:r>
      <w:r>
        <w:rPr>
          <w:rFonts w:hint="eastAsia" w:ascii="仿宋_GB2312" w:hAnsi="仿宋_GB2312" w:eastAsia="仿宋_GB2312" w:cs="仿宋_GB2312"/>
          <w:sz w:val="32"/>
          <w:szCs w:val="32"/>
          <w:shd w:val="clear" w:color="auto" w:fill="FFFFFF"/>
          <w:lang w:val="en-US" w:eastAsia="zh-CN"/>
        </w:rPr>
        <w:t>11.13</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482"/>
        <w:contextualSpacing/>
        <w:textAlignment w:val="auto"/>
        <w:rPr>
          <w:rFonts w:ascii="楷体_GB2312" w:eastAsia="楷体_GB2312"/>
          <w:b/>
          <w:bCs/>
          <w:sz w:val="32"/>
          <w:szCs w:val="32"/>
        </w:rPr>
      </w:pPr>
      <w:r>
        <w:rPr>
          <w:rFonts w:hint="eastAsia" w:ascii="楷体_GB2312" w:eastAsia="楷体_GB2312"/>
          <w:b/>
          <w:bCs/>
          <w:sz w:val="32"/>
          <w:szCs w:val="32"/>
        </w:rPr>
        <w:t>（一）基本支出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rPr>
      </w:pPr>
      <w:r>
        <w:rPr>
          <w:rFonts w:hint="eastAsia" w:ascii="楷体_GB2312" w:hAnsi="仿宋" w:eastAsia="楷体_GB2312" w:cs="仿宋"/>
          <w:sz w:val="32"/>
          <w:szCs w:val="32"/>
        </w:rPr>
        <w:t>1、人员经费。</w:t>
      </w:r>
      <w:r>
        <w:rPr>
          <w:rFonts w:hint="eastAsia" w:ascii="仿宋_GB2312" w:hAnsi="仿宋_GB2312" w:eastAsia="仿宋_GB2312" w:cs="仿宋_GB2312"/>
          <w:sz w:val="32"/>
          <w:szCs w:val="32"/>
          <w:shd w:val="clear" w:color="auto" w:fill="FFFFFF"/>
          <w:lang w:eastAsia="zh-CN"/>
        </w:rPr>
        <w:t>我单位</w:t>
      </w:r>
      <w:r>
        <w:rPr>
          <w:rFonts w:hint="eastAsia" w:ascii="仿宋_GB2312" w:eastAsia="仿宋_GB2312"/>
          <w:bCs/>
          <w:sz w:val="32"/>
          <w:szCs w:val="32"/>
        </w:rPr>
        <w:t>2022年共安排人员支出</w:t>
      </w:r>
      <w:r>
        <w:rPr>
          <w:rFonts w:hint="eastAsia" w:ascii="仿宋_GB2312" w:eastAsia="仿宋_GB2312"/>
          <w:bCs/>
          <w:sz w:val="32"/>
          <w:szCs w:val="32"/>
          <w:lang w:val="en-US" w:eastAsia="zh-CN"/>
        </w:rPr>
        <w:t>65.51</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工资福利（统发）</w:t>
      </w:r>
      <w:r>
        <w:rPr>
          <w:rFonts w:hint="eastAsia" w:ascii="仿宋_GB2312" w:eastAsia="仿宋_GB2312"/>
          <w:bCs/>
          <w:sz w:val="32"/>
          <w:szCs w:val="32"/>
          <w:lang w:val="en-US" w:eastAsia="zh-CN"/>
        </w:rPr>
        <w:t>43.65万元，在职人员采暖补贴3.64万元，养老保险6.98万元，医疗保险5.60万元，失业保险0.31万元，工伤保险0.09万元，在编在职人员住房公积金5.24万元。</w:t>
      </w:r>
    </w:p>
    <w:p>
      <w:pPr>
        <w:keepNext w:val="0"/>
        <w:keepLines w:val="0"/>
        <w:pageBreakBefore w:val="0"/>
        <w:numPr>
          <w:ilvl w:val="0"/>
          <w:numId w:val="0"/>
        </w:numPr>
        <w:kinsoku/>
        <w:wordWrap/>
        <w:overflowPunct/>
        <w:topLinePunct w:val="0"/>
        <w:bidi w:val="0"/>
        <w:spacing w:line="620" w:lineRule="exact"/>
        <w:ind w:right="0" w:rightChars="0" w:firstLine="640" w:firstLineChars="200"/>
        <w:textAlignment w:val="auto"/>
        <w:rPr>
          <w:rFonts w:hint="eastAsia" w:ascii="仿宋_GB2312" w:hAnsi="黑体" w:eastAsia="仿宋_GB2312"/>
          <w:sz w:val="32"/>
          <w:szCs w:val="32"/>
          <w:lang w:eastAsia="zh-CN"/>
        </w:rPr>
      </w:pPr>
      <w:r>
        <w:rPr>
          <w:rFonts w:hint="eastAsia" w:ascii="楷体_GB2312" w:hAnsi="仿宋" w:eastAsia="楷体_GB2312" w:cs="仿宋"/>
          <w:sz w:val="32"/>
          <w:szCs w:val="32"/>
          <w:lang w:val="en-US" w:eastAsia="zh-CN"/>
        </w:rPr>
        <w:t>2.</w:t>
      </w:r>
      <w:r>
        <w:rPr>
          <w:rFonts w:hint="eastAsia" w:ascii="楷体_GB2312" w:hAnsi="仿宋" w:eastAsia="楷体_GB2312" w:cs="仿宋"/>
          <w:sz w:val="32"/>
          <w:szCs w:val="32"/>
        </w:rPr>
        <w:t>公用经费。</w:t>
      </w:r>
      <w:r>
        <w:rPr>
          <w:rFonts w:hint="eastAsia" w:ascii="仿宋_GB2312" w:hAnsi="仿宋_GB2312" w:eastAsia="仿宋_GB2312" w:cs="仿宋_GB2312"/>
          <w:sz w:val="32"/>
          <w:szCs w:val="32"/>
          <w:shd w:val="clear" w:color="auto" w:fill="FFFFFF"/>
          <w:lang w:eastAsia="zh-CN"/>
        </w:rPr>
        <w:t>我单位</w:t>
      </w:r>
      <w:r>
        <w:rPr>
          <w:rFonts w:hint="eastAsia" w:ascii="仿宋_GB2312" w:eastAsia="仿宋_GB2312"/>
          <w:bCs/>
          <w:sz w:val="32"/>
          <w:szCs w:val="32"/>
        </w:rPr>
        <w:t>2022年共安排公用经费支出</w:t>
      </w:r>
      <w:r>
        <w:rPr>
          <w:rFonts w:hint="eastAsia" w:ascii="仿宋_GB2312" w:eastAsia="仿宋_GB2312"/>
          <w:bCs/>
          <w:sz w:val="32"/>
          <w:szCs w:val="32"/>
          <w:lang w:val="en-US" w:eastAsia="zh-CN"/>
        </w:rPr>
        <w:t>4.57</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明细如下</w:t>
      </w:r>
      <w:r>
        <w:rPr>
          <w:rFonts w:hint="eastAsia" w:ascii="仿宋_GB2312" w:hAnsi="黑体" w:eastAsia="仿宋_GB2312"/>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一般商品和服务支出1.49万元，公用经费2.57万元，压缩5%综合办公费0.14万元，基本支出培训费0.37万元。</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rPr>
        <w:t>增减变动说明。</w:t>
      </w:r>
      <w:r>
        <w:rPr>
          <w:rFonts w:hint="eastAsia" w:ascii="仿宋_GB2312" w:hAnsi="仿宋_GB2312" w:eastAsia="仿宋_GB2312" w:cs="仿宋_GB2312"/>
          <w:sz w:val="32"/>
          <w:szCs w:val="32"/>
          <w:shd w:val="clear" w:color="auto" w:fill="FFFFFF"/>
          <w:lang w:eastAsia="zh-CN"/>
        </w:rPr>
        <w:t>我单位</w:t>
      </w:r>
      <w:r>
        <w:rPr>
          <w:rFonts w:hint="eastAsia" w:ascii="仿宋_GB2312" w:hAnsi="仿宋" w:eastAsia="仿宋_GB2312" w:cs="楷体"/>
          <w:bCs/>
          <w:sz w:val="32"/>
          <w:szCs w:val="32"/>
        </w:rPr>
        <w:t>2022年基本支出共支出</w:t>
      </w:r>
      <w:r>
        <w:rPr>
          <w:rFonts w:hint="eastAsia" w:ascii="仿宋_GB2312" w:hAnsi="仿宋" w:eastAsia="仿宋_GB2312" w:cs="楷体"/>
          <w:bCs/>
          <w:sz w:val="32"/>
          <w:szCs w:val="32"/>
          <w:lang w:val="en-US" w:eastAsia="zh-CN"/>
        </w:rPr>
        <w:t>70.08</w:t>
      </w:r>
      <w:r>
        <w:rPr>
          <w:rFonts w:hint="eastAsia" w:ascii="仿宋_GB2312" w:hAnsi="仿宋" w:eastAsia="仿宋_GB2312" w:cs="楷体"/>
          <w:bCs/>
          <w:sz w:val="32"/>
          <w:szCs w:val="32"/>
        </w:rPr>
        <w:t>万元，</w:t>
      </w:r>
      <w:r>
        <w:rPr>
          <w:rFonts w:hint="eastAsia" w:ascii="仿宋_GB2312" w:eastAsia="仿宋_GB2312"/>
          <w:bCs/>
          <w:sz w:val="32"/>
          <w:szCs w:val="32"/>
        </w:rPr>
        <w:t>较上年增加</w:t>
      </w:r>
      <w:r>
        <w:rPr>
          <w:rFonts w:hint="eastAsia" w:ascii="仿宋_GB2312" w:eastAsia="仿宋_GB2312"/>
          <w:bCs/>
          <w:sz w:val="32"/>
          <w:szCs w:val="32"/>
          <w:lang w:val="en-US" w:eastAsia="zh-CN"/>
        </w:rPr>
        <w:t>1.17</w:t>
      </w:r>
      <w:r>
        <w:rPr>
          <w:rFonts w:hint="eastAsia" w:ascii="仿宋_GB2312" w:eastAsia="仿宋_GB2312"/>
          <w:bCs/>
          <w:sz w:val="32"/>
          <w:szCs w:val="32"/>
        </w:rPr>
        <w:t>万元，变化的主要原因是</w:t>
      </w:r>
      <w:r>
        <w:rPr>
          <w:rFonts w:hint="eastAsia" w:ascii="仿宋_GB2312" w:hAnsi="黑体" w:eastAsia="仿宋_GB2312"/>
          <w:sz w:val="32"/>
          <w:szCs w:val="32"/>
          <w:lang w:eastAsia="zh-CN"/>
        </w:rPr>
        <w:t>人员工资正常晋升及社保缴费基数调整。</w:t>
      </w:r>
    </w:p>
    <w:p>
      <w:pPr>
        <w:keepNext w:val="0"/>
        <w:keepLines w:val="0"/>
        <w:pageBreakBefore w:val="0"/>
        <w:widowControl/>
        <w:kinsoku/>
        <w:wordWrap/>
        <w:overflowPunct/>
        <w:topLinePunct w:val="0"/>
        <w:bidi w:val="0"/>
        <w:adjustRightInd w:val="0"/>
        <w:spacing w:line="620" w:lineRule="exact"/>
        <w:ind w:firstLine="643" w:firstLineChars="200"/>
        <w:textAlignment w:val="auto"/>
        <w:rPr>
          <w:rFonts w:hint="default" w:ascii="仿宋_GB2312" w:hAnsi="黑体" w:eastAsia="仿宋_GB2312"/>
          <w:sz w:val="32"/>
          <w:szCs w:val="32"/>
          <w:lang w:val="en-US" w:eastAsia="zh-CN"/>
        </w:rPr>
      </w:pPr>
      <w:r>
        <w:rPr>
          <w:rFonts w:hint="eastAsia" w:ascii="楷体_GB2312" w:eastAsia="楷体_GB2312"/>
          <w:b/>
          <w:bCs/>
          <w:sz w:val="32"/>
          <w:szCs w:val="32"/>
        </w:rPr>
        <w:t>（二）项目支出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1、项目支出增减及变动情况说明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eastAsia="仿宋_GB2312" w:cs="仿宋"/>
          <w:sz w:val="32"/>
          <w:szCs w:val="32"/>
          <w:lang w:val="en-US" w:eastAsia="zh-CN"/>
        </w:rPr>
      </w:pPr>
      <w:r>
        <w:rPr>
          <w:rFonts w:hint="eastAsia" w:ascii="仿宋_GB2312" w:hAnsi="仿宋_GB2312" w:eastAsia="仿宋_GB2312" w:cs="仿宋_GB2312"/>
          <w:sz w:val="32"/>
          <w:szCs w:val="32"/>
          <w:shd w:val="clear" w:color="auto" w:fill="FFFFFF"/>
          <w:lang w:eastAsia="zh-CN"/>
        </w:rPr>
        <w:t>我单位</w:t>
      </w:r>
      <w:r>
        <w:rPr>
          <w:rFonts w:hint="eastAsia" w:ascii="仿宋_GB2312" w:eastAsia="仿宋_GB2312"/>
          <w:bCs/>
          <w:sz w:val="32"/>
          <w:szCs w:val="32"/>
        </w:rPr>
        <w:t>2022年共安排项目支出</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较上年减少</w:t>
      </w:r>
      <w:r>
        <w:rPr>
          <w:rFonts w:hint="eastAsia" w:ascii="仿宋_GB2312" w:eastAsia="仿宋_GB2312"/>
          <w:bCs/>
          <w:sz w:val="32"/>
          <w:szCs w:val="32"/>
          <w:lang w:val="en-US" w:eastAsia="zh-CN"/>
        </w:rPr>
        <w:t>12.30</w:t>
      </w:r>
      <w:r>
        <w:rPr>
          <w:rFonts w:hint="eastAsia" w:ascii="仿宋_GB2312" w:eastAsia="仿宋_GB2312"/>
          <w:bCs/>
          <w:sz w:val="32"/>
          <w:szCs w:val="32"/>
        </w:rPr>
        <w:t>万元，变化的主要原因是</w:t>
      </w:r>
      <w:r>
        <w:rPr>
          <w:rFonts w:hint="eastAsia" w:ascii="仿宋_GB2312" w:eastAsia="仿宋_GB2312"/>
          <w:bCs/>
          <w:sz w:val="32"/>
          <w:szCs w:val="32"/>
          <w:lang w:eastAsia="zh-CN"/>
        </w:rPr>
        <w:t>减少了中文域名注册管理费</w:t>
      </w:r>
      <w:r>
        <w:rPr>
          <w:rFonts w:hint="eastAsia" w:ascii="仿宋_GB2312" w:eastAsia="仿宋_GB2312"/>
          <w:bCs/>
          <w:sz w:val="32"/>
          <w:szCs w:val="32"/>
          <w:lang w:val="en-US" w:eastAsia="zh-CN"/>
        </w:rPr>
        <w:t>8万元及业务经费4.30万元。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2、项目分类分级情况</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eastAsia="仿宋_GB2312"/>
          <w:bCs/>
          <w:sz w:val="32"/>
          <w:szCs w:val="32"/>
        </w:rPr>
        <w:t>项目分类情况：</w:t>
      </w: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2022年部门专项业务类项目支出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万元；改革发展类项目支出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bCs/>
          <w:sz w:val="32"/>
          <w:szCs w:val="32"/>
        </w:rPr>
        <w:t>项目分级情况：</w:t>
      </w: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2022年项目支出中本级支出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万元，下县区支出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3、转移支付安排情况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2022年共安排转移支付支出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4、政府性基金安排情况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2022年政府性基金支出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hAnsi="仿宋_GB2312" w:eastAsia="楷体_GB2312" w:cs="仿宋_GB2312"/>
          <w:color w:val="000000"/>
          <w:sz w:val="32"/>
          <w:szCs w:val="32"/>
        </w:rPr>
        <w:t>5、国有资本经营预算安排情况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rPr>
      </w:pP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2022年国有资本经营预算支出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Style w:val="12"/>
        <w:keepNext w:val="0"/>
        <w:keepLines w:val="0"/>
        <w:pageBreakBefore w:val="0"/>
        <w:kinsoku/>
        <w:wordWrap/>
        <w:overflowPunct/>
        <w:topLinePunct w:val="0"/>
        <w:bidi w:val="0"/>
        <w:spacing w:line="620" w:lineRule="exact"/>
        <w:ind w:firstLine="482"/>
        <w:contextualSpacing/>
        <w:textAlignment w:val="auto"/>
        <w:rPr>
          <w:rFonts w:hint="eastAsia" w:ascii="楷体_GB2312" w:eastAsia="楷体_GB2312"/>
          <w:b/>
          <w:bCs/>
          <w:sz w:val="32"/>
          <w:szCs w:val="32"/>
        </w:rPr>
      </w:pPr>
      <w:r>
        <w:rPr>
          <w:rFonts w:hint="eastAsia" w:ascii="楷体_GB2312" w:eastAsia="楷体_GB2312"/>
          <w:b/>
          <w:bCs/>
          <w:sz w:val="32"/>
          <w:szCs w:val="32"/>
        </w:rPr>
        <w:t>（三）“三公”经费支出及增减变动情况说明</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2022年</w:t>
      </w:r>
      <w:r>
        <w:rPr>
          <w:rFonts w:hint="eastAsia" w:ascii="仿宋_GB2312" w:hAnsi="仿宋_GB2312" w:eastAsia="仿宋_GB2312" w:cs="仿宋_GB2312"/>
          <w:sz w:val="32"/>
          <w:szCs w:val="32"/>
          <w:shd w:val="clear" w:color="auto" w:fill="FFFFFF"/>
          <w:lang w:eastAsia="zh-CN"/>
        </w:rPr>
        <w:t>我单位</w:t>
      </w:r>
      <w:r>
        <w:rPr>
          <w:rFonts w:hint="eastAsia" w:ascii="仿宋_GB2312" w:eastAsia="仿宋_GB2312"/>
          <w:bCs/>
          <w:sz w:val="32"/>
          <w:szCs w:val="32"/>
        </w:rPr>
        <w:t>“三公”经费支出预算</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0</w:t>
      </w:r>
      <w:r>
        <w:rPr>
          <w:rFonts w:hint="eastAsia" w:ascii="仿宋_GB2312" w:eastAsia="仿宋_GB2312"/>
          <w:bCs/>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eastAsia="仿宋_GB2312"/>
          <w:bCs/>
          <w:sz w:val="32"/>
          <w:szCs w:val="32"/>
        </w:rPr>
      </w:pPr>
      <w:r>
        <w:rPr>
          <w:rFonts w:hint="eastAsia" w:ascii="黑体" w:hAnsi="黑体" w:eastAsia="黑体"/>
          <w:sz w:val="32"/>
          <w:szCs w:val="32"/>
        </w:rPr>
        <w:t>四、机关运行经费安排情况明细及增减变动情况说明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楷体_GB2312" w:hAnsi="仿宋" w:eastAsia="楷体_GB2312" w:cs="楷体"/>
          <w:bCs/>
          <w:sz w:val="32"/>
          <w:szCs w:val="32"/>
        </w:rPr>
        <w:t>1、机关运行经费预算支出。</w:t>
      </w:r>
      <w:r>
        <w:rPr>
          <w:rFonts w:hint="eastAsia" w:ascii="仿宋_GB2312" w:hAnsi="仿宋_GB2312" w:eastAsia="仿宋_GB2312" w:cs="仿宋_GB2312"/>
          <w:sz w:val="32"/>
          <w:szCs w:val="32"/>
          <w:shd w:val="clear" w:color="auto" w:fill="FFFFFF"/>
          <w:lang w:eastAsia="zh-CN"/>
        </w:rPr>
        <w:t>我单位</w:t>
      </w:r>
      <w:r>
        <w:rPr>
          <w:rFonts w:hint="eastAsia" w:ascii="仿宋_GB2312" w:hAnsi="仿宋_GB2312" w:eastAsia="仿宋_GB2312" w:cs="仿宋_GB2312"/>
          <w:color w:val="000000"/>
          <w:sz w:val="32"/>
          <w:szCs w:val="32"/>
        </w:rPr>
        <w:t>2022年机关运行经费预算支出共安排</w:t>
      </w:r>
      <w:r>
        <w:rPr>
          <w:rFonts w:hint="eastAsia" w:ascii="仿宋_GB2312" w:hAnsi="仿宋_GB2312" w:eastAsia="仿宋_GB2312" w:cs="仿宋_GB2312"/>
          <w:color w:val="000000"/>
          <w:sz w:val="32"/>
          <w:szCs w:val="32"/>
          <w:lang w:val="en-US" w:eastAsia="zh-CN"/>
        </w:rPr>
        <w:t>4.571</w:t>
      </w:r>
      <w:r>
        <w:rPr>
          <w:rFonts w:hint="eastAsia" w:ascii="仿宋_GB2312" w:hAnsi="仿宋_GB2312" w:eastAsia="仿宋_GB2312" w:cs="仿宋_GB2312"/>
          <w:color w:val="000000"/>
          <w:sz w:val="32"/>
          <w:szCs w:val="32"/>
        </w:rPr>
        <w:t>万元</w:t>
      </w:r>
      <w:r>
        <w:rPr>
          <w:rFonts w:hint="eastAsia" w:ascii="仿宋_GB2312" w:hAnsi="黑体" w:eastAsia="仿宋_GB2312"/>
          <w:sz w:val="32"/>
          <w:szCs w:val="32"/>
          <w:lang w:eastAsia="zh-CN"/>
        </w:rPr>
        <w:t>，</w:t>
      </w:r>
      <w:r>
        <w:rPr>
          <w:rFonts w:hint="eastAsia" w:ascii="仿宋_GB2312" w:hAnsi="仿宋_GB2312" w:eastAsia="仿宋_GB2312" w:cs="仿宋_GB2312"/>
          <w:color w:val="000000"/>
          <w:sz w:val="32"/>
          <w:szCs w:val="32"/>
        </w:rPr>
        <w:t>具体安排如下</w:t>
      </w:r>
      <w:r>
        <w:rPr>
          <w:rFonts w:hint="eastAsia" w:ascii="仿宋_GB2312" w:eastAsia="仿宋_GB2312"/>
          <w:bCs/>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一般商品和服务支出1.49万元，公用经费2.57万元，压缩5%综合办公费0.14万元，基本支出培训费0.37万元。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楷体_GB2312" w:hAnsi="仿宋" w:eastAsia="楷体_GB2312" w:cs="楷体"/>
          <w:bCs/>
          <w:sz w:val="32"/>
          <w:szCs w:val="32"/>
        </w:rPr>
        <w:t>2、增减变动说明。</w:t>
      </w:r>
      <w:r>
        <w:rPr>
          <w:rFonts w:hint="eastAsia" w:ascii="仿宋_GB2312" w:hAnsi="仿宋_GB2312" w:eastAsia="仿宋_GB2312" w:cs="仿宋_GB2312"/>
          <w:sz w:val="32"/>
          <w:szCs w:val="32"/>
          <w:shd w:val="clear" w:color="auto" w:fill="FFFFFF"/>
          <w:lang w:eastAsia="zh-CN"/>
        </w:rPr>
        <w:t>我单位</w:t>
      </w:r>
      <w:r>
        <w:rPr>
          <w:rFonts w:hint="eastAsia" w:ascii="仿宋_GB2312" w:hAnsi="仿宋" w:eastAsia="仿宋_GB2312" w:cs="楷体"/>
          <w:bCs/>
          <w:sz w:val="32"/>
          <w:szCs w:val="32"/>
        </w:rPr>
        <w:t>2022年机关运行经费支出</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五、政府采购预算情况说明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shd w:val="clear" w:color="auto" w:fill="FFFFFF"/>
          <w:lang w:eastAsia="zh-CN"/>
        </w:rPr>
        <w:t>我单位</w:t>
      </w:r>
      <w:r>
        <w:rPr>
          <w:rFonts w:hint="eastAsia" w:ascii="仿宋_GB2312" w:hAnsi="黑体" w:eastAsia="仿宋_GB2312"/>
          <w:sz w:val="32"/>
          <w:szCs w:val="32"/>
        </w:rPr>
        <w:t>2022年政府采购预算支出</w:t>
      </w:r>
      <w:r>
        <w:rPr>
          <w:rFonts w:hint="eastAsia" w:ascii="仿宋_GB2312" w:hAnsi="黑体" w:eastAsia="仿宋_GB2312"/>
          <w:sz w:val="32"/>
          <w:szCs w:val="32"/>
          <w:lang w:val="en-US" w:eastAsia="zh-CN"/>
        </w:rPr>
        <w:t>1.57</w:t>
      </w:r>
      <w:r>
        <w:rPr>
          <w:rFonts w:hint="eastAsia" w:ascii="仿宋_GB2312" w:hAnsi="黑体" w:eastAsia="仿宋_GB2312"/>
          <w:sz w:val="32"/>
          <w:szCs w:val="32"/>
        </w:rPr>
        <w:t>万元，具体安排如下</w:t>
      </w:r>
      <w:r>
        <w:rPr>
          <w:rFonts w:hint="eastAsia" w:ascii="仿宋_GB2312" w:hAnsi="黑体" w:eastAsia="仿宋_GB2312"/>
          <w:sz w:val="32"/>
          <w:szCs w:val="32"/>
          <w:lang w:eastAsia="zh-CN"/>
        </w:rPr>
        <w:t>：</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办公耗材采购1.57万元。</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六、国有资产占用情况说明</w:t>
      </w:r>
    </w:p>
    <w:p>
      <w:pPr>
        <w:keepNext w:val="0"/>
        <w:keepLines w:val="0"/>
        <w:pageBreakBefore w:val="0"/>
        <w:kinsoku/>
        <w:wordWrap/>
        <w:overflowPunct/>
        <w:topLinePunct w:val="0"/>
        <w:bidi w:val="0"/>
        <w:spacing w:line="62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_GB2312" w:eastAsia="仿宋_GB2312" w:cs="仿宋_GB2312"/>
          <w:sz w:val="32"/>
          <w:szCs w:val="32"/>
        </w:rPr>
        <w:t>上年末固定资产</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45.38万元，累计折旧41.71万元，固定资产净值3.67万元。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黑体"/>
          <w:color w:val="auto"/>
          <w:sz w:val="32"/>
          <w:szCs w:val="32"/>
          <w:lang w:val="en"/>
        </w:rPr>
      </w:pPr>
      <w:r>
        <w:rPr>
          <w:rFonts w:hint="eastAsia" w:ascii="黑体" w:hAnsi="黑体" w:eastAsia="黑体"/>
          <w:color w:val="auto"/>
          <w:sz w:val="32"/>
          <w:szCs w:val="32"/>
        </w:rPr>
        <w:t>七、预算绩效管理情况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(一）2021年预算绩效管理工作情况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1.组织保障方面：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按照</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有关文件</w:t>
      </w:r>
      <w:r>
        <w:rPr>
          <w:rFonts w:hint="eastAsia" w:ascii="仿宋_GB2312" w:eastAsia="仿宋_GB2312"/>
          <w:sz w:val="32"/>
          <w:szCs w:val="32"/>
          <w:lang w:eastAsia="zh-CN"/>
        </w:rPr>
        <w:t>要求</w:t>
      </w:r>
      <w:r>
        <w:rPr>
          <w:rFonts w:hint="eastAsia" w:ascii="仿宋_GB2312" w:eastAsia="仿宋_GB2312"/>
          <w:sz w:val="32"/>
          <w:szCs w:val="32"/>
        </w:rPr>
        <w:t>，我</w:t>
      </w:r>
      <w:r>
        <w:rPr>
          <w:rFonts w:hint="eastAsia" w:ascii="仿宋_GB2312" w:eastAsia="仿宋_GB2312"/>
          <w:sz w:val="32"/>
          <w:szCs w:val="32"/>
          <w:lang w:eastAsia="zh-CN"/>
        </w:rPr>
        <w:t>单位积极</w:t>
      </w:r>
      <w:r>
        <w:rPr>
          <w:rFonts w:hint="eastAsia" w:ascii="仿宋_GB2312" w:eastAsia="仿宋_GB2312"/>
          <w:sz w:val="32"/>
          <w:szCs w:val="32"/>
        </w:rPr>
        <w:t>安排部署预算绩效评价工作，</w:t>
      </w:r>
      <w:r>
        <w:rPr>
          <w:rFonts w:hint="eastAsia" w:ascii="仿宋_GB2312" w:eastAsia="仿宋_GB2312"/>
          <w:sz w:val="32"/>
          <w:szCs w:val="32"/>
          <w:lang w:eastAsia="zh-CN"/>
        </w:rPr>
        <w:t>对</w:t>
      </w:r>
      <w:r>
        <w:rPr>
          <w:rFonts w:hint="eastAsia" w:ascii="仿宋_GB2312" w:eastAsia="仿宋_GB2312"/>
          <w:sz w:val="32"/>
          <w:szCs w:val="32"/>
          <w:lang w:val="en-US" w:eastAsia="zh-CN"/>
        </w:rPr>
        <w:t>2021年2个项目进行了绩效自评，</w:t>
      </w:r>
      <w:r>
        <w:rPr>
          <w:rFonts w:hint="eastAsia" w:ascii="仿宋_GB2312" w:eastAsia="仿宋_GB2312"/>
          <w:sz w:val="32"/>
          <w:szCs w:val="32"/>
        </w:rPr>
        <w:t>规范了工作内容，确保绩效评价工作有序开展，在年</w:t>
      </w:r>
      <w:r>
        <w:rPr>
          <w:rFonts w:ascii="仿宋_GB2312" w:eastAsia="仿宋_GB2312"/>
          <w:sz w:val="32"/>
          <w:szCs w:val="32"/>
        </w:rPr>
        <w:t>初设</w:t>
      </w:r>
      <w:r>
        <w:rPr>
          <w:rFonts w:hint="eastAsia" w:ascii="仿宋_GB2312" w:eastAsia="仿宋_GB2312"/>
          <w:sz w:val="32"/>
          <w:szCs w:val="32"/>
        </w:rPr>
        <w:t>定</w:t>
      </w:r>
      <w:r>
        <w:rPr>
          <w:rFonts w:ascii="仿宋_GB2312" w:eastAsia="仿宋_GB2312"/>
          <w:sz w:val="32"/>
          <w:szCs w:val="32"/>
        </w:rPr>
        <w:t>绩效目标的</w:t>
      </w:r>
      <w:r>
        <w:rPr>
          <w:rFonts w:hint="eastAsia" w:ascii="仿宋_GB2312" w:eastAsia="仿宋_GB2312"/>
          <w:sz w:val="32"/>
          <w:szCs w:val="32"/>
        </w:rPr>
        <w:t>基础</w:t>
      </w:r>
      <w:r>
        <w:rPr>
          <w:rFonts w:ascii="仿宋_GB2312" w:eastAsia="仿宋_GB2312"/>
          <w:sz w:val="32"/>
          <w:szCs w:val="32"/>
        </w:rPr>
        <w:t>上</w:t>
      </w:r>
      <w:r>
        <w:rPr>
          <w:rFonts w:hint="eastAsia" w:ascii="仿宋_GB2312" w:eastAsia="仿宋_GB2312"/>
          <w:sz w:val="32"/>
          <w:szCs w:val="32"/>
        </w:rPr>
        <w:t>，</w:t>
      </w:r>
      <w:r>
        <w:rPr>
          <w:rFonts w:ascii="仿宋_GB2312" w:eastAsia="仿宋_GB2312"/>
          <w:sz w:val="32"/>
          <w:szCs w:val="32"/>
        </w:rPr>
        <w:t>全年分时段对绩效目标执行情况进行监控，发现问题及时纠正。</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2.绩效目标管理方面：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2021年</w:t>
      </w:r>
      <w:r>
        <w:rPr>
          <w:rFonts w:hint="eastAsia" w:ascii="仿宋_GB2312" w:eastAsia="仿宋_GB2312"/>
          <w:sz w:val="32"/>
          <w:szCs w:val="32"/>
          <w:lang w:eastAsia="zh-CN"/>
        </w:rPr>
        <w:t>单位</w:t>
      </w:r>
      <w:r>
        <w:rPr>
          <w:rFonts w:hint="eastAsia" w:ascii="仿宋_GB2312" w:eastAsia="仿宋_GB2312"/>
          <w:sz w:val="32"/>
          <w:szCs w:val="32"/>
        </w:rPr>
        <w:t>预算纳入绩效目标管理的项目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11.26</w:t>
      </w:r>
      <w:r>
        <w:rPr>
          <w:rFonts w:hint="eastAsia" w:ascii="仿宋_GB2312" w:eastAsia="仿宋_GB2312"/>
          <w:sz w:val="32"/>
          <w:szCs w:val="32"/>
        </w:rPr>
        <w:t>万元，其中：一般公共预算项目</w:t>
      </w:r>
      <w:r>
        <w:rPr>
          <w:rFonts w:hint="eastAsia" w:ascii="仿宋_GB2312" w:eastAsia="仿宋_GB2312"/>
          <w:sz w:val="32"/>
          <w:szCs w:val="32"/>
          <w:lang w:val="en-US" w:eastAsia="zh-CN"/>
        </w:rPr>
        <w:t>2</w:t>
      </w:r>
      <w:r>
        <w:rPr>
          <w:rFonts w:hint="eastAsia" w:ascii="仿宋_GB2312" w:eastAsia="仿宋_GB2312"/>
          <w:sz w:val="32"/>
          <w:szCs w:val="32"/>
        </w:rPr>
        <w:t>个，涉及财政支出</w:t>
      </w:r>
      <w:r>
        <w:rPr>
          <w:rFonts w:hint="eastAsia" w:ascii="仿宋_GB2312" w:eastAsia="仿宋_GB2312"/>
          <w:sz w:val="32"/>
          <w:szCs w:val="32"/>
          <w:lang w:val="en-US" w:eastAsia="zh-CN"/>
        </w:rPr>
        <w:t>11.26</w:t>
      </w:r>
      <w:r>
        <w:rPr>
          <w:rFonts w:hint="eastAsia" w:ascii="仿宋_GB2312" w:eastAsia="仿宋_GB2312"/>
          <w:sz w:val="32"/>
          <w:szCs w:val="32"/>
        </w:rPr>
        <w:t>万元。2021年本部门纳入部门预算整体支出绩效目标管理。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3.绩效运行监控方面：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0"/>
          <w:sz w:val="32"/>
          <w:szCs w:val="32"/>
          <w:lang w:val="en-US" w:eastAsia="zh-CN"/>
        </w:rPr>
        <w:t>2021</w:t>
      </w:r>
      <w:r>
        <w:rPr>
          <w:rFonts w:hint="eastAsia" w:ascii="仿宋_GB2312" w:hAnsi="宋体" w:eastAsia="仿宋_GB2312" w:cs="仿宋_GB2312"/>
          <w:i w:val="0"/>
          <w:iCs w:val="0"/>
          <w:caps w:val="0"/>
          <w:color w:val="000000"/>
          <w:spacing w:val="0"/>
          <w:sz w:val="32"/>
          <w:szCs w:val="32"/>
        </w:rPr>
        <w:t>年</w:t>
      </w:r>
      <w:r>
        <w:rPr>
          <w:rFonts w:hint="eastAsia" w:ascii="仿宋_GB2312" w:eastAsia="仿宋_GB2312"/>
          <w:sz w:val="32"/>
          <w:szCs w:val="32"/>
          <w:lang w:eastAsia="zh-CN"/>
        </w:rPr>
        <w:t>单位</w:t>
      </w:r>
      <w:r>
        <w:rPr>
          <w:rFonts w:hint="eastAsia" w:ascii="仿宋_GB2312" w:hAnsi="宋体" w:eastAsia="仿宋_GB2312" w:cs="仿宋_GB2312"/>
          <w:i w:val="0"/>
          <w:iCs w:val="0"/>
          <w:caps w:val="0"/>
          <w:color w:val="000000"/>
          <w:spacing w:val="0"/>
          <w:sz w:val="32"/>
          <w:szCs w:val="32"/>
        </w:rPr>
        <w:t>加大预算绩效</w:t>
      </w:r>
      <w:r>
        <w:rPr>
          <w:rFonts w:hint="eastAsia" w:ascii="仿宋_GB2312" w:eastAsia="仿宋_GB2312" w:cs="仿宋_GB2312"/>
          <w:i w:val="0"/>
          <w:iCs w:val="0"/>
          <w:caps w:val="0"/>
          <w:color w:val="000000"/>
          <w:spacing w:val="0"/>
          <w:sz w:val="32"/>
          <w:szCs w:val="32"/>
          <w:lang w:eastAsia="zh-CN"/>
        </w:rPr>
        <w:t>监管</w:t>
      </w:r>
      <w:r>
        <w:rPr>
          <w:rFonts w:hint="eastAsia" w:ascii="仿宋_GB2312" w:hAnsi="宋体" w:eastAsia="仿宋_GB2312" w:cs="仿宋_GB2312"/>
          <w:i w:val="0"/>
          <w:iCs w:val="0"/>
          <w:caps w:val="0"/>
          <w:color w:val="000000"/>
          <w:spacing w:val="0"/>
          <w:sz w:val="32"/>
          <w:szCs w:val="32"/>
        </w:rPr>
        <w:t>力度，及时进行预算绩效运行纠偏调整，保证资金的安全和项目的正常运行。</w:t>
      </w:r>
      <w:r>
        <w:rPr>
          <w:rFonts w:hint="eastAsia" w:ascii="仿宋_GB2312" w:eastAsia="仿宋_GB2312"/>
          <w:sz w:val="32"/>
          <w:szCs w:val="32"/>
          <w:lang w:eastAsia="zh-CN"/>
        </w:rPr>
        <w:t>单位</w:t>
      </w:r>
      <w:r>
        <w:rPr>
          <w:rFonts w:hint="eastAsia" w:ascii="仿宋_GB2312" w:eastAsia="仿宋_GB2312" w:cs="仿宋_GB2312"/>
          <w:i w:val="0"/>
          <w:iCs w:val="0"/>
          <w:caps w:val="0"/>
          <w:color w:val="000000"/>
          <w:spacing w:val="0"/>
          <w:sz w:val="32"/>
          <w:szCs w:val="32"/>
          <w:lang w:eastAsia="zh-CN"/>
        </w:rPr>
        <w:t>业务经费</w:t>
      </w:r>
      <w:r>
        <w:rPr>
          <w:rFonts w:hint="eastAsia" w:ascii="仿宋_GB2312" w:hAnsi="宋体" w:eastAsia="仿宋_GB2312" w:cs="仿宋_GB2312"/>
          <w:i w:val="0"/>
          <w:iCs w:val="0"/>
          <w:caps w:val="0"/>
          <w:color w:val="000000"/>
          <w:spacing w:val="0"/>
          <w:sz w:val="32"/>
          <w:szCs w:val="32"/>
        </w:rPr>
        <w:t>、</w:t>
      </w:r>
      <w:r>
        <w:rPr>
          <w:rFonts w:hint="eastAsia" w:ascii="仿宋_GB2312" w:eastAsia="仿宋_GB2312" w:cs="仿宋_GB2312"/>
          <w:i w:val="0"/>
          <w:iCs w:val="0"/>
          <w:caps w:val="0"/>
          <w:color w:val="000000"/>
          <w:spacing w:val="0"/>
          <w:sz w:val="32"/>
          <w:szCs w:val="32"/>
          <w:lang w:eastAsia="zh-CN"/>
        </w:rPr>
        <w:t>中文域名注册管理经费</w:t>
      </w:r>
      <w:r>
        <w:rPr>
          <w:rFonts w:hint="eastAsia" w:ascii="仿宋_GB2312" w:hAnsi="宋体" w:eastAsia="仿宋_GB2312" w:cs="仿宋_GB2312"/>
          <w:i w:val="0"/>
          <w:iCs w:val="0"/>
          <w:caps w:val="0"/>
          <w:color w:val="000000"/>
          <w:spacing w:val="0"/>
          <w:sz w:val="32"/>
          <w:szCs w:val="32"/>
        </w:rPr>
        <w:t>等</w:t>
      </w:r>
      <w:r>
        <w:rPr>
          <w:rFonts w:hint="eastAsia" w:ascii="仿宋_GB2312" w:eastAsia="仿宋_GB2312" w:cs="仿宋_GB2312"/>
          <w:i w:val="0"/>
          <w:iCs w:val="0"/>
          <w:caps w:val="0"/>
          <w:color w:val="000000"/>
          <w:spacing w:val="0"/>
          <w:sz w:val="32"/>
          <w:szCs w:val="32"/>
          <w:lang w:val="en-US" w:eastAsia="zh-CN"/>
        </w:rPr>
        <w:t>2</w:t>
      </w:r>
      <w:r>
        <w:rPr>
          <w:rFonts w:hint="eastAsia" w:ascii="仿宋_GB2312" w:hAnsi="宋体" w:eastAsia="仿宋_GB2312" w:cs="仿宋_GB2312"/>
          <w:i w:val="0"/>
          <w:iCs w:val="0"/>
          <w:caps w:val="0"/>
          <w:color w:val="000000"/>
          <w:spacing w:val="0"/>
          <w:sz w:val="32"/>
          <w:szCs w:val="32"/>
        </w:rPr>
        <w:t>个</w:t>
      </w:r>
      <w:r>
        <w:rPr>
          <w:rFonts w:hint="eastAsia" w:ascii="仿宋_GB2312" w:eastAsia="仿宋_GB2312" w:cs="仿宋_GB2312"/>
          <w:i w:val="0"/>
          <w:iCs w:val="0"/>
          <w:caps w:val="0"/>
          <w:color w:val="000000"/>
          <w:spacing w:val="0"/>
          <w:sz w:val="32"/>
          <w:szCs w:val="32"/>
          <w:lang w:eastAsia="zh-CN"/>
        </w:rPr>
        <w:t>项目</w:t>
      </w:r>
      <w:r>
        <w:rPr>
          <w:rFonts w:hint="eastAsia" w:ascii="仿宋_GB2312" w:hAnsi="宋体" w:eastAsia="仿宋_GB2312" w:cs="仿宋_GB2312"/>
          <w:i w:val="0"/>
          <w:iCs w:val="0"/>
          <w:caps w:val="0"/>
          <w:color w:val="000000"/>
          <w:spacing w:val="0"/>
          <w:sz w:val="32"/>
          <w:szCs w:val="32"/>
        </w:rPr>
        <w:t>纳入预算绩效管理，并对进行预算绩效监控，监控金额为</w:t>
      </w:r>
      <w:r>
        <w:rPr>
          <w:rFonts w:hint="eastAsia" w:ascii="仿宋_GB2312" w:eastAsia="仿宋_GB2312" w:cs="仿宋_GB2312"/>
          <w:i w:val="0"/>
          <w:iCs w:val="0"/>
          <w:caps w:val="0"/>
          <w:color w:val="000000"/>
          <w:spacing w:val="0"/>
          <w:sz w:val="32"/>
          <w:szCs w:val="32"/>
          <w:lang w:val="en-US" w:eastAsia="zh-CN"/>
        </w:rPr>
        <w:t>12.3</w:t>
      </w:r>
      <w:r>
        <w:rPr>
          <w:rFonts w:hint="eastAsia" w:ascii="仿宋_GB2312" w:hAnsi="宋体" w:eastAsia="仿宋_GB2312" w:cs="仿宋_GB2312"/>
          <w:i w:val="0"/>
          <w:iCs w:val="0"/>
          <w:caps w:val="0"/>
          <w:color w:val="000000"/>
          <w:spacing w:val="0"/>
          <w:sz w:val="32"/>
          <w:szCs w:val="32"/>
        </w:rPr>
        <w:t>万元，截止</w:t>
      </w:r>
      <w:r>
        <w:rPr>
          <w:rFonts w:hint="eastAsia" w:ascii="仿宋_GB2312" w:eastAsia="仿宋_GB2312" w:cs="仿宋_GB2312"/>
          <w:i w:val="0"/>
          <w:iCs w:val="0"/>
          <w:caps w:val="0"/>
          <w:color w:val="000000"/>
          <w:spacing w:val="0"/>
          <w:sz w:val="32"/>
          <w:szCs w:val="32"/>
          <w:lang w:val="en-US" w:eastAsia="zh-CN"/>
        </w:rPr>
        <w:t>12</w:t>
      </w:r>
      <w:r>
        <w:rPr>
          <w:rFonts w:hint="eastAsia" w:ascii="仿宋_GB2312" w:hAnsi="宋体" w:eastAsia="仿宋_GB2312" w:cs="仿宋_GB2312"/>
          <w:i w:val="0"/>
          <w:iCs w:val="0"/>
          <w:caps w:val="0"/>
          <w:color w:val="000000"/>
          <w:spacing w:val="0"/>
          <w:sz w:val="32"/>
          <w:szCs w:val="32"/>
        </w:rPr>
        <w:t>月底实际执行</w:t>
      </w:r>
      <w:r>
        <w:rPr>
          <w:rFonts w:hint="eastAsia" w:ascii="仿宋_GB2312" w:eastAsia="仿宋_GB2312" w:cs="仿宋_GB2312"/>
          <w:i w:val="0"/>
          <w:iCs w:val="0"/>
          <w:caps w:val="0"/>
          <w:color w:val="000000"/>
          <w:spacing w:val="0"/>
          <w:sz w:val="32"/>
          <w:szCs w:val="32"/>
          <w:lang w:val="en-US" w:eastAsia="zh-CN"/>
        </w:rPr>
        <w:t>11.26</w:t>
      </w:r>
      <w:r>
        <w:rPr>
          <w:rFonts w:hint="eastAsia" w:ascii="仿宋_GB2312" w:hAnsi="宋体" w:eastAsia="仿宋_GB2312" w:cs="仿宋_GB2312"/>
          <w:i w:val="0"/>
          <w:iCs w:val="0"/>
          <w:caps w:val="0"/>
          <w:color w:val="000000"/>
          <w:spacing w:val="0"/>
          <w:sz w:val="32"/>
          <w:szCs w:val="32"/>
        </w:rPr>
        <w:t>万元，执行进度达到</w:t>
      </w:r>
      <w:r>
        <w:rPr>
          <w:rFonts w:hint="eastAsia" w:ascii="仿宋_GB2312" w:eastAsia="仿宋_GB2312" w:cs="仿宋_GB2312"/>
          <w:i w:val="0"/>
          <w:iCs w:val="0"/>
          <w:caps w:val="0"/>
          <w:color w:val="000000"/>
          <w:spacing w:val="0"/>
          <w:sz w:val="32"/>
          <w:szCs w:val="32"/>
          <w:lang w:val="en-US" w:eastAsia="zh-CN"/>
        </w:rPr>
        <w:t>91.54</w:t>
      </w:r>
      <w:r>
        <w:rPr>
          <w:rFonts w:hint="eastAsia" w:ascii="仿宋_GB2312" w:hAnsi="宋体" w:eastAsia="仿宋_GB2312" w:cs="仿宋_GB2312"/>
          <w:i w:val="0"/>
          <w:iCs w:val="0"/>
          <w:caps w:val="0"/>
          <w:color w:val="000000"/>
          <w:spacing w:val="0"/>
          <w:sz w:val="32"/>
          <w:szCs w:val="32"/>
        </w:rPr>
        <w:t>%，执行情况良好。</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4.绩效评价管理方面：</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2021年</w:t>
      </w:r>
      <w:r>
        <w:rPr>
          <w:rFonts w:hint="eastAsia" w:ascii="仿宋_GB2312" w:eastAsia="仿宋_GB2312"/>
          <w:sz w:val="32"/>
          <w:szCs w:val="32"/>
          <w:lang w:eastAsia="zh-CN"/>
        </w:rPr>
        <w:t>单位</w:t>
      </w:r>
      <w:r>
        <w:rPr>
          <w:rFonts w:hint="eastAsia" w:ascii="仿宋_GB2312" w:hAnsi="黑体" w:eastAsia="仿宋_GB2312"/>
          <w:color w:val="auto"/>
          <w:sz w:val="32"/>
          <w:szCs w:val="32"/>
          <w:lang w:val="en-US" w:eastAsia="zh-CN"/>
        </w:rPr>
        <w:t>项目资金从预算到资金支付层层把关，严格按照部门预算进行项目支出和整体支出，涉及“三重一大”事项必须经过室务会会议研究，所有项目严格按照项目申报的实施方案组织实施，并加强日常监督，依据相应的资金管理办法切实做到项目资金专款专用，无截留、挪用等现象。</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5.绩效结果反馈与应用方面：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目前</w:t>
      </w:r>
      <w:r>
        <w:rPr>
          <w:rFonts w:hint="eastAsia" w:ascii="仿宋_GB2312" w:hAnsi="黑体" w:eastAsia="仿宋_GB2312"/>
          <w:color w:val="auto"/>
          <w:sz w:val="32"/>
          <w:szCs w:val="32"/>
          <w:lang w:eastAsia="zh-CN"/>
        </w:rPr>
        <w:t>我</w:t>
      </w:r>
      <w:r>
        <w:rPr>
          <w:rFonts w:hint="eastAsia" w:ascii="仿宋_GB2312" w:eastAsia="仿宋_GB2312"/>
          <w:sz w:val="32"/>
          <w:szCs w:val="32"/>
          <w:lang w:eastAsia="zh-CN"/>
        </w:rPr>
        <w:t>单位</w:t>
      </w:r>
      <w:r>
        <w:rPr>
          <w:rFonts w:hint="eastAsia" w:ascii="仿宋_GB2312" w:hAnsi="黑体" w:eastAsia="仿宋_GB2312"/>
          <w:color w:val="auto"/>
          <w:sz w:val="32"/>
          <w:szCs w:val="32"/>
        </w:rPr>
        <w:t>所开展的绩效评价工作绝大多数仅是针对项目支出开展</w:t>
      </w:r>
      <w:r>
        <w:rPr>
          <w:rFonts w:hint="eastAsia" w:ascii="仿宋_GB2312" w:hAnsi="黑体" w:eastAsia="仿宋_GB2312"/>
          <w:color w:val="auto"/>
          <w:sz w:val="32"/>
          <w:szCs w:val="32"/>
          <w:lang w:eastAsia="zh-CN"/>
        </w:rPr>
        <w:t>，或者虽然对项目资金进行了绩效评价工作，但是绩效评价的结果没有被充分的运用，下一步将加强对绩效评价的运用，</w:t>
      </w:r>
      <w:r>
        <w:rPr>
          <w:rFonts w:hint="eastAsia" w:ascii="仿宋_GB2312" w:hAnsi="黑体" w:eastAsia="仿宋_GB2312"/>
          <w:color w:val="auto"/>
          <w:sz w:val="32"/>
          <w:szCs w:val="32"/>
        </w:rPr>
        <w:t>对部门整体支出进行评价时，要综合部门预算的预期目标与投入后的目标完成程度进行比对，分析目标实现情况，从而确定</w:t>
      </w:r>
      <w:r>
        <w:rPr>
          <w:rFonts w:hint="eastAsia" w:ascii="仿宋_GB2312" w:hAnsi="黑体" w:eastAsia="仿宋_GB2312"/>
          <w:color w:val="auto"/>
          <w:sz w:val="32"/>
          <w:szCs w:val="32"/>
          <w:lang w:eastAsia="zh-CN"/>
        </w:rPr>
        <w:t>整体</w:t>
      </w:r>
      <w:r>
        <w:rPr>
          <w:rFonts w:hint="eastAsia" w:ascii="仿宋_GB2312" w:hAnsi="黑体" w:eastAsia="仿宋_GB2312"/>
          <w:color w:val="auto"/>
          <w:sz w:val="32"/>
          <w:szCs w:val="32"/>
        </w:rPr>
        <w:t>支出绩效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考量项目资金的到位情况，有否按规定使用资金，是否存在移用、挪用等情况，以及项目资金在指定用途中取得的成效</w:t>
      </w:r>
      <w:r>
        <w:rPr>
          <w:rFonts w:hint="eastAsia" w:ascii="仿宋_GB2312" w:hAnsi="黑体" w:eastAsia="仿宋_GB2312"/>
          <w:color w:val="auto"/>
          <w:sz w:val="32"/>
          <w:szCs w:val="32"/>
          <w:lang w:eastAsia="zh-CN"/>
        </w:rPr>
        <w:t>等。</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（二）2022年部门预算项目支出绩效目标情况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纳入</w:t>
      </w:r>
      <w:r>
        <w:rPr>
          <w:rFonts w:hint="eastAsia" w:ascii="仿宋_GB2312" w:hAnsi="黑体" w:eastAsia="仿宋_GB2312"/>
          <w:color w:val="auto"/>
          <w:sz w:val="32"/>
          <w:szCs w:val="32"/>
          <w:lang w:eastAsia="zh-CN"/>
        </w:rPr>
        <w:t>我单位</w:t>
      </w:r>
      <w:r>
        <w:rPr>
          <w:rFonts w:hint="eastAsia" w:ascii="仿宋_GB2312" w:hAnsi="黑体" w:eastAsia="仿宋_GB2312"/>
          <w:color w:val="auto"/>
          <w:sz w:val="32"/>
          <w:szCs w:val="32"/>
        </w:rPr>
        <w:t>绩效目标管理的项目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个，涉及预算资金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万元，主要的项目支出有</w:t>
      </w:r>
      <w:r>
        <w:rPr>
          <w:rFonts w:hint="eastAsia" w:ascii="仿宋_GB2312" w:hAnsi="仿宋_GB2312" w:eastAsia="仿宋_GB2312" w:cs="仿宋_GB2312"/>
          <w:color w:val="auto"/>
          <w:sz w:val="32"/>
          <w:szCs w:val="32"/>
          <w:lang w:val="en-US" w:eastAsia="zh-CN"/>
        </w:rPr>
        <w:t>0个</w:t>
      </w:r>
      <w:r>
        <w:rPr>
          <w:rFonts w:hint="eastAsia" w:ascii="仿宋_GB2312" w:hAnsi="仿宋_GB2312" w:eastAsia="仿宋_GB2312" w:cs="仿宋_GB2312"/>
          <w:color w:val="auto"/>
          <w:sz w:val="32"/>
          <w:szCs w:val="32"/>
        </w:rPr>
        <w:t>。其中：一般公共预算项目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万元；政府性基金项目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黑体" w:eastAsia="仿宋_GB2312"/>
          <w:color w:val="auto"/>
          <w:sz w:val="32"/>
          <w:szCs w:val="32"/>
          <w:lang w:eastAsia="zh-CN"/>
        </w:rPr>
        <w:t>我单位</w:t>
      </w:r>
      <w:r>
        <w:rPr>
          <w:rFonts w:hint="eastAsia" w:ascii="仿宋_GB2312" w:hAnsi="仿宋_GB2312" w:eastAsia="仿宋_GB2312" w:cs="仿宋_GB2312"/>
          <w:color w:val="auto"/>
          <w:sz w:val="32"/>
          <w:szCs w:val="32"/>
        </w:rPr>
        <w:t>所属</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个预算单位纳入部门（单位）整体支出绩效目标管理。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八、名词解释</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（一）财政拨款收入：指由市级财政拨款形成的部门收入。按现行管理制度，市级部门预算中反映的财政拨款包括一般公共预算拨款和政府性基金预算拨款。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（三）年末结转和结余：指单位按有关规定结转到下年或以后年度继续使用的资金。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（四）基本支出：指为保障机构正常运转、完成日常工作任务而发生的人员经费和日常公用经费。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（五）项目支出：指在基本支出之外为完成特定行政任务和事业发展目标所发生的支出。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（六）一般公共服务支出（类）党委办公厅(室）及相关机构事务（款）：反映党委办公厅(室）及相关机构的支出。行政运行（项）：反映行政单位（包括实行公务员管理的事业单位）的基本支出。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（七）教育支出（类）进修及培训（款）培训支出（项）：反映部门安排的用于培训方面的支出。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（八）社会保障和就业支出（类）：反映政府在社会保障与就业方面的支出。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1.行政事业单位离退休（款）：反映行政事业单位离退休方面的支出。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归口管理的行政单位离退休（项）：反映实行归口管理的行政单位（包括实行公务员管理的事业单位）开支的离退休经费。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2.财政对其他社会保险基金的补助（款）：反映财政对其他社会保险基金的补助支出。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财政对生育保险基金的补助（项）：反映财政对生育保险基金的补助支出。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（九）医疗卫生与计划生育支出（类）：反映政府医疗卫生与计划生育管理方面的支出。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1.行政事业单位医疗（款）：反映行政事业单位医疗方面的支出。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公务员医疗补助（项）：反映财政部门集中安排的公务员医疗补助经费。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14"/>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lang w:eastAsia="zh-CN"/>
        </w:rPr>
      </w:pPr>
    </w:p>
    <w:p>
      <w:pPr>
        <w:pStyle w:val="14"/>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1.预算表</w:t>
      </w:r>
    </w:p>
    <w:p>
      <w:pPr>
        <w:pStyle w:val="12"/>
        <w:keepNext w:val="0"/>
        <w:keepLines w:val="0"/>
        <w:pageBreakBefore w:val="0"/>
        <w:numPr>
          <w:numId w:val="0"/>
        </w:numPr>
        <w:kinsoku/>
        <w:wordWrap/>
        <w:overflowPunct/>
        <w:topLinePunct w:val="0"/>
        <w:bidi w:val="0"/>
        <w:spacing w:line="620" w:lineRule="exact"/>
        <w:ind w:left="640" w:leftChars="0" w:right="0" w:rightChars="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2.2022年兰州市市级部门_单位_整体支出绩效目标表</w:t>
      </w:r>
    </w:p>
    <w:p>
      <w:pPr>
        <w:pStyle w:val="12"/>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1280" w:firstLineChars="40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1280" w:firstLineChars="40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1280" w:firstLineChars="400"/>
        <w:textAlignment w:val="auto"/>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eastAsia="zh-CN"/>
        </w:rPr>
        <w:t>中共兰州市委机构编制委员会办公室电子政务中心</w:t>
      </w:r>
      <w:r>
        <w:rPr>
          <w:rFonts w:hint="eastAsia" w:ascii="仿宋_GB2312" w:hAnsi="仿宋_GB2312" w:eastAsia="仿宋_GB2312" w:cs="仿宋_GB2312"/>
          <w:color w:val="000000"/>
          <w:sz w:val="32"/>
          <w:szCs w:val="32"/>
          <w:lang w:val="en-US" w:eastAsia="zh-CN"/>
        </w:rPr>
        <w:t xml:space="preserve">       </w:t>
      </w:r>
    </w:p>
    <w:p>
      <w:pPr>
        <w:pStyle w:val="12"/>
        <w:keepNext w:val="0"/>
        <w:keepLines w:val="0"/>
        <w:pageBreakBefore w:val="0"/>
        <w:kinsoku/>
        <w:wordWrap/>
        <w:overflowPunct/>
        <w:topLinePunct w:val="0"/>
        <w:bidi w:val="0"/>
        <w:spacing w:line="620" w:lineRule="exact"/>
        <w:ind w:right="0" w:rightChars="0" w:firstLine="3840" w:firstLineChars="1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lang w:val="en-US" w:eastAsia="zh-CN"/>
        </w:rPr>
        <w:t>022年1月24日</w:t>
      </w: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FD9D6"/>
    <w:multiLevelType w:val="singleLevel"/>
    <w:tmpl w:val="D1DFD9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EE"/>
    <w:rsid w:val="000129B9"/>
    <w:rsid w:val="002562B6"/>
    <w:rsid w:val="002C38FD"/>
    <w:rsid w:val="0032072C"/>
    <w:rsid w:val="00430E01"/>
    <w:rsid w:val="006873EE"/>
    <w:rsid w:val="007F6EAE"/>
    <w:rsid w:val="008F48F8"/>
    <w:rsid w:val="009357E1"/>
    <w:rsid w:val="00AC31F0"/>
    <w:rsid w:val="00B057E2"/>
    <w:rsid w:val="00B248EF"/>
    <w:rsid w:val="00CD4691"/>
    <w:rsid w:val="00F24E40"/>
    <w:rsid w:val="00F9252B"/>
    <w:rsid w:val="010A29DC"/>
    <w:rsid w:val="01F03C9B"/>
    <w:rsid w:val="020564D3"/>
    <w:rsid w:val="02BE58F5"/>
    <w:rsid w:val="04525292"/>
    <w:rsid w:val="046E6AB3"/>
    <w:rsid w:val="04E7426C"/>
    <w:rsid w:val="05D05E70"/>
    <w:rsid w:val="069121D0"/>
    <w:rsid w:val="073F7A01"/>
    <w:rsid w:val="07531599"/>
    <w:rsid w:val="076E14B6"/>
    <w:rsid w:val="07834F4B"/>
    <w:rsid w:val="07934B82"/>
    <w:rsid w:val="07BE5FBE"/>
    <w:rsid w:val="07F23166"/>
    <w:rsid w:val="0901018B"/>
    <w:rsid w:val="09033061"/>
    <w:rsid w:val="09155376"/>
    <w:rsid w:val="099D7BDF"/>
    <w:rsid w:val="09A91504"/>
    <w:rsid w:val="09B20F89"/>
    <w:rsid w:val="09F30F84"/>
    <w:rsid w:val="0AE56520"/>
    <w:rsid w:val="0B8F70D2"/>
    <w:rsid w:val="0D3E69C7"/>
    <w:rsid w:val="0D4B361E"/>
    <w:rsid w:val="0D6F43AB"/>
    <w:rsid w:val="0D980C99"/>
    <w:rsid w:val="0DDE0D0C"/>
    <w:rsid w:val="0DF4111F"/>
    <w:rsid w:val="0E561DB4"/>
    <w:rsid w:val="0ED10C87"/>
    <w:rsid w:val="0F5D017B"/>
    <w:rsid w:val="0FCC11D8"/>
    <w:rsid w:val="0FD85A14"/>
    <w:rsid w:val="10217790"/>
    <w:rsid w:val="103532B8"/>
    <w:rsid w:val="105B4E96"/>
    <w:rsid w:val="109C3306"/>
    <w:rsid w:val="111034C9"/>
    <w:rsid w:val="113C38D1"/>
    <w:rsid w:val="11A8548F"/>
    <w:rsid w:val="11BE57B6"/>
    <w:rsid w:val="12221C35"/>
    <w:rsid w:val="12B2638D"/>
    <w:rsid w:val="12E53BFE"/>
    <w:rsid w:val="12F052CF"/>
    <w:rsid w:val="139F1B2F"/>
    <w:rsid w:val="143C3072"/>
    <w:rsid w:val="145F49E4"/>
    <w:rsid w:val="15612D4A"/>
    <w:rsid w:val="15B1650F"/>
    <w:rsid w:val="16202099"/>
    <w:rsid w:val="16577C0F"/>
    <w:rsid w:val="16C9091A"/>
    <w:rsid w:val="17291867"/>
    <w:rsid w:val="172D0D7B"/>
    <w:rsid w:val="182025ED"/>
    <w:rsid w:val="190C00FE"/>
    <w:rsid w:val="19A73A80"/>
    <w:rsid w:val="19AB0A7A"/>
    <w:rsid w:val="19B32FE8"/>
    <w:rsid w:val="1A1F1E16"/>
    <w:rsid w:val="1A507B1C"/>
    <w:rsid w:val="1AC93786"/>
    <w:rsid w:val="1B0713FC"/>
    <w:rsid w:val="1B1520DE"/>
    <w:rsid w:val="1B694DA1"/>
    <w:rsid w:val="1B7F7FCB"/>
    <w:rsid w:val="1BF72F98"/>
    <w:rsid w:val="1CE302D5"/>
    <w:rsid w:val="1D3338D2"/>
    <w:rsid w:val="1DA01609"/>
    <w:rsid w:val="1DAB28C7"/>
    <w:rsid w:val="1E282277"/>
    <w:rsid w:val="1EAD46F6"/>
    <w:rsid w:val="1F6E34FF"/>
    <w:rsid w:val="20A30DD7"/>
    <w:rsid w:val="23AE1D11"/>
    <w:rsid w:val="23AF6EED"/>
    <w:rsid w:val="24036E05"/>
    <w:rsid w:val="249B440C"/>
    <w:rsid w:val="251D19DE"/>
    <w:rsid w:val="25FC3626"/>
    <w:rsid w:val="26512479"/>
    <w:rsid w:val="26566B8C"/>
    <w:rsid w:val="26DD7123"/>
    <w:rsid w:val="270A710B"/>
    <w:rsid w:val="276F59C2"/>
    <w:rsid w:val="2774065B"/>
    <w:rsid w:val="277C1A29"/>
    <w:rsid w:val="27D80D32"/>
    <w:rsid w:val="29475AF5"/>
    <w:rsid w:val="29514D36"/>
    <w:rsid w:val="29744D45"/>
    <w:rsid w:val="299738DA"/>
    <w:rsid w:val="29C50A99"/>
    <w:rsid w:val="29CA1CA8"/>
    <w:rsid w:val="2A2857CC"/>
    <w:rsid w:val="2A3E58AF"/>
    <w:rsid w:val="2B191486"/>
    <w:rsid w:val="2CC25558"/>
    <w:rsid w:val="2CE649EF"/>
    <w:rsid w:val="2D0003B5"/>
    <w:rsid w:val="2D152ED6"/>
    <w:rsid w:val="2D6E4D95"/>
    <w:rsid w:val="2DD00A6D"/>
    <w:rsid w:val="2E3D457A"/>
    <w:rsid w:val="2EAD7069"/>
    <w:rsid w:val="2F1150A7"/>
    <w:rsid w:val="2FD55948"/>
    <w:rsid w:val="2FDC57F0"/>
    <w:rsid w:val="304E4D0B"/>
    <w:rsid w:val="306857B1"/>
    <w:rsid w:val="30721098"/>
    <w:rsid w:val="309409C2"/>
    <w:rsid w:val="31754BE9"/>
    <w:rsid w:val="31E74E13"/>
    <w:rsid w:val="323847BE"/>
    <w:rsid w:val="32D20E63"/>
    <w:rsid w:val="33002EEA"/>
    <w:rsid w:val="33F45FC0"/>
    <w:rsid w:val="34265FEB"/>
    <w:rsid w:val="35AE56F6"/>
    <w:rsid w:val="35CC672C"/>
    <w:rsid w:val="36966341"/>
    <w:rsid w:val="38B16CBE"/>
    <w:rsid w:val="392A172C"/>
    <w:rsid w:val="39FB1C7D"/>
    <w:rsid w:val="3AAB2107"/>
    <w:rsid w:val="3AAE7D23"/>
    <w:rsid w:val="3ABD5DEE"/>
    <w:rsid w:val="3BDF0BF8"/>
    <w:rsid w:val="3BE9463E"/>
    <w:rsid w:val="3D3305EA"/>
    <w:rsid w:val="3D736808"/>
    <w:rsid w:val="3F922632"/>
    <w:rsid w:val="40CC71EF"/>
    <w:rsid w:val="410161CD"/>
    <w:rsid w:val="41177B40"/>
    <w:rsid w:val="418317EB"/>
    <w:rsid w:val="41BC0873"/>
    <w:rsid w:val="41BF5B07"/>
    <w:rsid w:val="42AF3036"/>
    <w:rsid w:val="42B6404E"/>
    <w:rsid w:val="42DC45C7"/>
    <w:rsid w:val="435F2A7E"/>
    <w:rsid w:val="437A6903"/>
    <w:rsid w:val="43A8050F"/>
    <w:rsid w:val="43BF69EC"/>
    <w:rsid w:val="43F25D01"/>
    <w:rsid w:val="44121FFF"/>
    <w:rsid w:val="44212AB2"/>
    <w:rsid w:val="449904E0"/>
    <w:rsid w:val="45216A3B"/>
    <w:rsid w:val="459B60DF"/>
    <w:rsid w:val="45A03087"/>
    <w:rsid w:val="45A06386"/>
    <w:rsid w:val="46B30356"/>
    <w:rsid w:val="475F36DF"/>
    <w:rsid w:val="4786282F"/>
    <w:rsid w:val="4806560E"/>
    <w:rsid w:val="485B09B3"/>
    <w:rsid w:val="488F35B0"/>
    <w:rsid w:val="48C13C1C"/>
    <w:rsid w:val="48D17FE2"/>
    <w:rsid w:val="496A7983"/>
    <w:rsid w:val="49A279C6"/>
    <w:rsid w:val="49CC290C"/>
    <w:rsid w:val="49E00C5C"/>
    <w:rsid w:val="4A3803EF"/>
    <w:rsid w:val="4AD0231F"/>
    <w:rsid w:val="4B182958"/>
    <w:rsid w:val="4B2777EC"/>
    <w:rsid w:val="4BAB26D5"/>
    <w:rsid w:val="4C1D241E"/>
    <w:rsid w:val="4D952E95"/>
    <w:rsid w:val="4DEF36AF"/>
    <w:rsid w:val="4DFB39BE"/>
    <w:rsid w:val="4E173D9E"/>
    <w:rsid w:val="4E250FA5"/>
    <w:rsid w:val="4E713965"/>
    <w:rsid w:val="4E8B3DEF"/>
    <w:rsid w:val="4F420711"/>
    <w:rsid w:val="506E58C1"/>
    <w:rsid w:val="50784884"/>
    <w:rsid w:val="5088307E"/>
    <w:rsid w:val="509F6959"/>
    <w:rsid w:val="523315EA"/>
    <w:rsid w:val="5235528A"/>
    <w:rsid w:val="52860ED3"/>
    <w:rsid w:val="52EF3462"/>
    <w:rsid w:val="532D25B9"/>
    <w:rsid w:val="535566D8"/>
    <w:rsid w:val="53B53CAA"/>
    <w:rsid w:val="546978E1"/>
    <w:rsid w:val="54B47E19"/>
    <w:rsid w:val="54D10333"/>
    <w:rsid w:val="55023AD9"/>
    <w:rsid w:val="5539030F"/>
    <w:rsid w:val="55835AEF"/>
    <w:rsid w:val="55BE4151"/>
    <w:rsid w:val="55FC10CE"/>
    <w:rsid w:val="561A5C87"/>
    <w:rsid w:val="5622319B"/>
    <w:rsid w:val="565E1B7A"/>
    <w:rsid w:val="569D3E74"/>
    <w:rsid w:val="56B307B1"/>
    <w:rsid w:val="56C43FA0"/>
    <w:rsid w:val="56D75DB0"/>
    <w:rsid w:val="56E5071D"/>
    <w:rsid w:val="56FB2732"/>
    <w:rsid w:val="57486F2E"/>
    <w:rsid w:val="579A0688"/>
    <w:rsid w:val="57D14478"/>
    <w:rsid w:val="5803054D"/>
    <w:rsid w:val="58966D8A"/>
    <w:rsid w:val="589B5FE5"/>
    <w:rsid w:val="59241E7F"/>
    <w:rsid w:val="59DD013F"/>
    <w:rsid w:val="5A0B608D"/>
    <w:rsid w:val="5A0E7612"/>
    <w:rsid w:val="5A2606C1"/>
    <w:rsid w:val="5A4C03A0"/>
    <w:rsid w:val="5A8310FA"/>
    <w:rsid w:val="5ABE68D9"/>
    <w:rsid w:val="5ACF1023"/>
    <w:rsid w:val="5B873BBD"/>
    <w:rsid w:val="5C99392E"/>
    <w:rsid w:val="5D81097E"/>
    <w:rsid w:val="5DAA121C"/>
    <w:rsid w:val="5E6827E7"/>
    <w:rsid w:val="5EAD5713"/>
    <w:rsid w:val="5EFE0397"/>
    <w:rsid w:val="5F425E5D"/>
    <w:rsid w:val="5F9D0163"/>
    <w:rsid w:val="5FC11322"/>
    <w:rsid w:val="5FEE1039"/>
    <w:rsid w:val="60723F49"/>
    <w:rsid w:val="60775AC3"/>
    <w:rsid w:val="607D37A6"/>
    <w:rsid w:val="612D01E8"/>
    <w:rsid w:val="612D6E96"/>
    <w:rsid w:val="615919C9"/>
    <w:rsid w:val="617871AE"/>
    <w:rsid w:val="619920A7"/>
    <w:rsid w:val="61E44C2E"/>
    <w:rsid w:val="621A0537"/>
    <w:rsid w:val="633A79B4"/>
    <w:rsid w:val="638462CA"/>
    <w:rsid w:val="63EF636D"/>
    <w:rsid w:val="64806B2E"/>
    <w:rsid w:val="64992746"/>
    <w:rsid w:val="64EE58D3"/>
    <w:rsid w:val="65431D76"/>
    <w:rsid w:val="66124A37"/>
    <w:rsid w:val="662619CF"/>
    <w:rsid w:val="6799493F"/>
    <w:rsid w:val="68080629"/>
    <w:rsid w:val="68372B18"/>
    <w:rsid w:val="687822C4"/>
    <w:rsid w:val="687A352E"/>
    <w:rsid w:val="68B52EF4"/>
    <w:rsid w:val="68BD7B50"/>
    <w:rsid w:val="6931245A"/>
    <w:rsid w:val="69687BBB"/>
    <w:rsid w:val="698B7A9F"/>
    <w:rsid w:val="6993215E"/>
    <w:rsid w:val="69CC7091"/>
    <w:rsid w:val="69E91088"/>
    <w:rsid w:val="69F0323B"/>
    <w:rsid w:val="6BD74168"/>
    <w:rsid w:val="6CCE2310"/>
    <w:rsid w:val="6D8777E0"/>
    <w:rsid w:val="6E274B98"/>
    <w:rsid w:val="6E6504F2"/>
    <w:rsid w:val="6EA82E57"/>
    <w:rsid w:val="6EB16BA2"/>
    <w:rsid w:val="6F401899"/>
    <w:rsid w:val="6FDC39BF"/>
    <w:rsid w:val="6FE9228F"/>
    <w:rsid w:val="6FFD624F"/>
    <w:rsid w:val="700A58ED"/>
    <w:rsid w:val="705C680B"/>
    <w:rsid w:val="70606E6C"/>
    <w:rsid w:val="719428A4"/>
    <w:rsid w:val="721940C9"/>
    <w:rsid w:val="73A06C5C"/>
    <w:rsid w:val="73BA2A1D"/>
    <w:rsid w:val="751353B8"/>
    <w:rsid w:val="759001BA"/>
    <w:rsid w:val="75997EBA"/>
    <w:rsid w:val="759F2D74"/>
    <w:rsid w:val="76120DF0"/>
    <w:rsid w:val="76406CA4"/>
    <w:rsid w:val="76BF69C3"/>
    <w:rsid w:val="774960B6"/>
    <w:rsid w:val="779D6F0B"/>
    <w:rsid w:val="77E07341"/>
    <w:rsid w:val="7807712A"/>
    <w:rsid w:val="78D96574"/>
    <w:rsid w:val="78DF3D3E"/>
    <w:rsid w:val="79074984"/>
    <w:rsid w:val="79584CBB"/>
    <w:rsid w:val="79720446"/>
    <w:rsid w:val="7985538D"/>
    <w:rsid w:val="79F03C02"/>
    <w:rsid w:val="7A261FD2"/>
    <w:rsid w:val="7A2C1131"/>
    <w:rsid w:val="7A63772F"/>
    <w:rsid w:val="7B071E40"/>
    <w:rsid w:val="7B1B0F23"/>
    <w:rsid w:val="7B2A7360"/>
    <w:rsid w:val="7CD85893"/>
    <w:rsid w:val="7CF306D6"/>
    <w:rsid w:val="7CFC50CC"/>
    <w:rsid w:val="7D040C6A"/>
    <w:rsid w:val="7D3F66DC"/>
    <w:rsid w:val="7D850404"/>
    <w:rsid w:val="7EDD443D"/>
    <w:rsid w:val="7F337F4E"/>
    <w:rsid w:val="7FA62507"/>
    <w:rsid w:val="7FA85FAF"/>
    <w:rsid w:val="7FC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character" w:styleId="10">
    <w:name w:val="Strong"/>
    <w:qFormat/>
    <w:uiPriority w:val="22"/>
    <w:rPr>
      <w:b/>
      <w:bCs/>
    </w:rPr>
  </w:style>
  <w:style w:type="character" w:styleId="11">
    <w:name w:val="page number"/>
    <w:unhideWhenUsed/>
    <w:qFormat/>
    <w:uiPriority w:val="0"/>
    <w:rPr>
      <w:rFonts w:cs="Times New Roman"/>
    </w:rPr>
  </w:style>
  <w:style w:type="paragraph" w:customStyle="1" w:styleId="12">
    <w:name w:val="p0"/>
    <w:basedOn w:val="1"/>
    <w:qFormat/>
    <w:uiPriority w:val="0"/>
    <w:pPr>
      <w:widowControl/>
    </w:pPr>
    <w:rPr>
      <w:rFonts w:ascii="宋体" w:hAnsi="宋体" w:cs="宋体"/>
      <w:kern w:val="0"/>
      <w:szCs w:val="21"/>
    </w:rPr>
  </w:style>
  <w:style w:type="paragraph" w:customStyle="1" w:styleId="13">
    <w:name w:val="p15"/>
    <w:basedOn w:val="1"/>
    <w:qFormat/>
    <w:uiPriority w:val="0"/>
    <w:pPr>
      <w:widowControl/>
    </w:pPr>
    <w:rPr>
      <w:rFonts w:ascii="宋体" w:hAnsi="宋体" w:cs="宋体"/>
      <w:kern w:val="0"/>
      <w:szCs w:val="21"/>
    </w:rPr>
  </w:style>
  <w:style w:type="paragraph" w:customStyle="1" w:styleId="14">
    <w:name w:val="p16"/>
    <w:basedOn w:val="1"/>
    <w:qFormat/>
    <w:uiPriority w:val="0"/>
    <w:pPr>
      <w:widowControl/>
    </w:pPr>
    <w:rPr>
      <w:rFonts w:ascii="宋体" w:hAnsi="宋体" w:cs="宋体"/>
      <w:kern w:val="0"/>
      <w:szCs w:val="21"/>
    </w:rPr>
  </w:style>
  <w:style w:type="character" w:customStyle="1" w:styleId="15">
    <w:name w:val="页眉 Char"/>
    <w:link w:val="6"/>
    <w:qFormat/>
    <w:uiPriority w:val="0"/>
    <w:rPr>
      <w:rFonts w:ascii="Calibri" w:hAnsi="Calibri" w:cs="黑体"/>
      <w:kern w:val="2"/>
      <w:sz w:val="18"/>
      <w:szCs w:val="18"/>
    </w:rPr>
  </w:style>
  <w:style w:type="character" w:customStyle="1" w:styleId="16">
    <w:name w:val="标题 2 Char"/>
    <w:link w:val="3"/>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747</Words>
  <Characters>4259</Characters>
  <Lines>35</Lines>
  <Paragraphs>9</Paragraphs>
  <TotalTime>2</TotalTime>
  <ScaleCrop>false</ScaleCrop>
  <LinksUpToDate>false</LinksUpToDate>
  <CharactersWithSpaces>4997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王斌仁</cp:lastModifiedBy>
  <cp:lastPrinted>2021-02-01T05:39:00Z</cp:lastPrinted>
  <dcterms:modified xsi:type="dcterms:W3CDTF">2022-01-24T06:59:20Z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D25C0AC219BB4833A396C84E29FE5E68</vt:lpwstr>
  </property>
</Properties>
</file>