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ageBreakBefore w:val="0"/>
        <w:kinsoku/>
        <w:wordWrap/>
        <w:overflowPunct/>
        <w:topLinePunct w:val="0"/>
        <w:bidi w:val="0"/>
        <w:spacing w:line="600" w:lineRule="exact"/>
        <w:ind w:left="480" w:right="0" w:rightChars="0"/>
        <w:jc w:val="center"/>
        <w:textAlignment w:val="auto"/>
        <w:rPr>
          <w:b/>
          <w:bCs/>
          <w:sz w:val="44"/>
          <w:szCs w:val="44"/>
        </w:rPr>
      </w:pPr>
    </w:p>
    <w:p>
      <w:pPr>
        <w:pStyle w:val="10"/>
        <w:pageBreakBefore w:val="0"/>
        <w:kinsoku/>
        <w:wordWrap/>
        <w:overflowPunct/>
        <w:topLinePunct w:val="0"/>
        <w:bidi w:val="0"/>
        <w:spacing w:line="600" w:lineRule="exact"/>
        <w:ind w:left="480" w:right="0" w:rightChars="0"/>
        <w:jc w:val="center"/>
        <w:textAlignment w:val="auto"/>
        <w:rPr>
          <w:rFonts w:hint="eastAsia" w:eastAsia="宋体"/>
          <w:b/>
          <w:bCs/>
          <w:sz w:val="44"/>
          <w:szCs w:val="44"/>
          <w:lang w:eastAsia="zh-CN"/>
        </w:rPr>
      </w:pPr>
      <w:r>
        <w:rPr>
          <w:rFonts w:hint="eastAsia"/>
          <w:b/>
          <w:bCs/>
          <w:sz w:val="44"/>
          <w:szCs w:val="44"/>
          <w:lang w:eastAsia="zh-CN"/>
        </w:rPr>
        <w:t>兰州市机构编制委员会办公室</w:t>
      </w:r>
    </w:p>
    <w:p>
      <w:pPr>
        <w:pStyle w:val="10"/>
        <w:pageBreakBefore w:val="0"/>
        <w:kinsoku/>
        <w:wordWrap/>
        <w:overflowPunct/>
        <w:topLinePunct w:val="0"/>
        <w:bidi w:val="0"/>
        <w:spacing w:line="600" w:lineRule="exact"/>
        <w:ind w:left="480" w:right="0" w:rightChars="0"/>
        <w:jc w:val="center"/>
        <w:textAlignment w:val="auto"/>
        <w:rPr>
          <w:b/>
          <w:bCs/>
          <w:sz w:val="44"/>
          <w:szCs w:val="44"/>
        </w:rPr>
      </w:pPr>
      <w:r>
        <w:rPr>
          <w:rFonts w:hint="eastAsia"/>
          <w:b/>
          <w:bCs/>
          <w:sz w:val="44"/>
          <w:szCs w:val="44"/>
        </w:rPr>
        <w:t>2018年度预算</w:t>
      </w:r>
    </w:p>
    <w:p>
      <w:pPr>
        <w:pStyle w:val="2"/>
        <w:pageBreakBefore w:val="0"/>
        <w:kinsoku/>
        <w:wordWrap/>
        <w:overflowPunct/>
        <w:topLinePunct w:val="0"/>
        <w:bidi w:val="0"/>
        <w:spacing w:before="0" w:after="0" w:line="600" w:lineRule="exact"/>
        <w:ind w:right="0" w:rightChars="0"/>
        <w:jc w:val="center"/>
        <w:textAlignment w:val="auto"/>
        <w:rPr>
          <w:rFonts w:ascii="黑体" w:hAnsi="黑体" w:eastAsia="黑体"/>
        </w:rPr>
      </w:pPr>
      <w:r>
        <w:rPr>
          <w:rFonts w:hint="eastAsia" w:ascii="黑体" w:hAnsi="黑体" w:eastAsia="黑体"/>
        </w:rPr>
        <w:t>目录</w:t>
      </w:r>
    </w:p>
    <w:p>
      <w:pPr>
        <w:pageBreakBefore w:val="0"/>
        <w:kinsoku/>
        <w:wordWrap/>
        <w:overflowPunct/>
        <w:topLinePunct w:val="0"/>
        <w:bidi w:val="0"/>
        <w:spacing w:line="600" w:lineRule="exact"/>
        <w:ind w:right="0" w:rightChars="0"/>
        <w:textAlignment w:val="auto"/>
        <w:rPr>
          <w:rFonts w:ascii="黑体" w:hAnsi="黑体" w:eastAsia="黑体"/>
          <w:sz w:val="32"/>
          <w:szCs w:val="32"/>
        </w:rPr>
      </w:pPr>
      <w:r>
        <w:rPr>
          <w:rFonts w:hint="eastAsia" w:ascii="黑体" w:hAnsi="黑体" w:eastAsia="黑体"/>
          <w:sz w:val="32"/>
          <w:szCs w:val="32"/>
        </w:rPr>
        <w:t>一、基本情况</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单位</w:t>
      </w:r>
      <w:r>
        <w:rPr>
          <w:rFonts w:hint="eastAsia" w:ascii="仿宋_GB2312" w:eastAsia="仿宋_GB2312"/>
          <w:sz w:val="32"/>
          <w:szCs w:val="32"/>
        </w:rPr>
        <w:t>职责</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（二）机构设置情况</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（三）预算编报范围</w:t>
      </w:r>
    </w:p>
    <w:p>
      <w:pPr>
        <w:pageBreakBefore w:val="0"/>
        <w:kinsoku/>
        <w:wordWrap/>
        <w:overflowPunct/>
        <w:topLinePunct w:val="0"/>
        <w:bidi w:val="0"/>
        <w:spacing w:line="600" w:lineRule="exact"/>
        <w:ind w:right="0" w:rightChars="0"/>
        <w:textAlignment w:val="auto"/>
        <w:rPr>
          <w:rFonts w:ascii="黑体" w:hAnsi="黑体" w:eastAsia="黑体"/>
          <w:sz w:val="32"/>
          <w:szCs w:val="32"/>
        </w:rPr>
      </w:pPr>
      <w:r>
        <w:rPr>
          <w:rFonts w:hint="eastAsia" w:ascii="黑体" w:hAnsi="黑体" w:eastAsia="黑体"/>
          <w:sz w:val="32"/>
          <w:szCs w:val="32"/>
        </w:rPr>
        <w:t>二、预算表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单位</w:t>
      </w:r>
      <w:r>
        <w:rPr>
          <w:rFonts w:hint="eastAsia" w:ascii="仿宋_GB2312" w:eastAsia="仿宋_GB2312"/>
          <w:sz w:val="32"/>
          <w:szCs w:val="32"/>
        </w:rPr>
        <w:t>预算收支总表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（二）财政拨款收支总表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单位</w:t>
      </w:r>
      <w:r>
        <w:rPr>
          <w:rFonts w:hint="eastAsia" w:ascii="仿宋_GB2312" w:eastAsia="仿宋_GB2312"/>
          <w:sz w:val="32"/>
          <w:szCs w:val="32"/>
        </w:rPr>
        <w:t>预算收入总表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eastAsia="zh-CN"/>
        </w:rPr>
        <w:t>单位</w:t>
      </w:r>
      <w:r>
        <w:rPr>
          <w:rFonts w:hint="eastAsia" w:ascii="仿宋_GB2312" w:eastAsia="仿宋_GB2312"/>
          <w:sz w:val="32"/>
          <w:szCs w:val="32"/>
        </w:rPr>
        <w:t>预算支出总表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（五）一般公共预算支出情况表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（六）一般公共预算基本支出情况表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（七）一般公共预算“三公”经费支出表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（八）政府性基金预算支出表</w:t>
      </w:r>
    </w:p>
    <w:p>
      <w:pPr>
        <w:pageBreakBefore w:val="0"/>
        <w:kinsoku/>
        <w:wordWrap/>
        <w:overflowPunct/>
        <w:topLinePunct w:val="0"/>
        <w:bidi w:val="0"/>
        <w:spacing w:line="600" w:lineRule="exact"/>
        <w:ind w:right="0" w:rightChars="0"/>
        <w:textAlignment w:val="auto"/>
        <w:rPr>
          <w:rFonts w:ascii="黑体" w:hAnsi="黑体" w:eastAsia="黑体"/>
          <w:sz w:val="32"/>
          <w:szCs w:val="32"/>
        </w:rPr>
      </w:pPr>
      <w:r>
        <w:rPr>
          <w:rFonts w:hint="eastAsia" w:ascii="黑体" w:hAnsi="黑体" w:eastAsia="黑体"/>
          <w:sz w:val="32"/>
          <w:szCs w:val="32"/>
        </w:rPr>
        <w:t>三、预算情况说明</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单位</w:t>
      </w:r>
      <w:r>
        <w:rPr>
          <w:rFonts w:hint="eastAsia" w:ascii="仿宋_GB2312" w:eastAsia="仿宋_GB2312"/>
          <w:sz w:val="32"/>
          <w:szCs w:val="32"/>
        </w:rPr>
        <w:t>预算收支总体情况说明</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1. 收入预算情况说明</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2. 支出预算情况说明</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（二）一般公共预算支出情况说明</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1.一般公共服务支出（类）</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2.教育支出（类）</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3.社会保障和就业支出（类）</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4.医疗卫生与计划生育支出（类）</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5.住房保障支出（类）</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（三）一般公共预算基本支出情况说明</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1.人员经费</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2.公用经费</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（四）“三公”经费预算情况说明</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（五）政府性基金预算支出情况表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（六）其他重要事项的情况说明</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1.机关运行经费</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2.政府采购情况</w:t>
      </w:r>
    </w:p>
    <w:p>
      <w:pPr>
        <w:pageBreakBefore w:val="0"/>
        <w:kinsoku/>
        <w:wordWrap/>
        <w:overflowPunct/>
        <w:topLinePunct w:val="0"/>
        <w:bidi w:val="0"/>
        <w:spacing w:line="600" w:lineRule="exact"/>
        <w:ind w:right="0" w:rightChars="0"/>
        <w:textAlignment w:val="auto"/>
        <w:rPr>
          <w:rFonts w:ascii="黑体" w:hAnsi="黑体" w:eastAsia="黑体"/>
          <w:sz w:val="32"/>
          <w:szCs w:val="32"/>
        </w:rPr>
      </w:pPr>
      <w:r>
        <w:rPr>
          <w:rFonts w:hint="eastAsia" w:ascii="黑体" w:hAnsi="黑体" w:eastAsia="黑体"/>
          <w:sz w:val="32"/>
          <w:szCs w:val="32"/>
        </w:rPr>
        <w:t>四、预算绩效评价情况</w:t>
      </w:r>
    </w:p>
    <w:p>
      <w:pPr>
        <w:pageBreakBefore w:val="0"/>
        <w:kinsoku/>
        <w:wordWrap/>
        <w:overflowPunct/>
        <w:topLinePunct w:val="0"/>
        <w:bidi w:val="0"/>
        <w:spacing w:line="600" w:lineRule="exact"/>
        <w:ind w:right="0" w:rightChars="0"/>
        <w:textAlignment w:val="auto"/>
        <w:rPr>
          <w:rFonts w:ascii="黑体" w:hAnsi="黑体" w:eastAsia="黑体"/>
          <w:sz w:val="32"/>
          <w:szCs w:val="32"/>
        </w:rPr>
      </w:pPr>
      <w:r>
        <w:rPr>
          <w:rFonts w:hint="eastAsia" w:ascii="黑体" w:hAnsi="黑体" w:eastAsia="黑体"/>
          <w:sz w:val="32"/>
          <w:szCs w:val="32"/>
        </w:rPr>
        <w:t>五、名词解释</w:t>
      </w:r>
    </w:p>
    <w:p>
      <w:pPr>
        <w:pStyle w:val="10"/>
        <w:pageBreakBefore w:val="0"/>
        <w:kinsoku/>
        <w:wordWrap/>
        <w:overflowPunct/>
        <w:topLinePunct w:val="0"/>
        <w:bidi w:val="0"/>
        <w:spacing w:line="600" w:lineRule="exact"/>
        <w:ind w:right="0" w:rightChars="0"/>
        <w:jc w:val="left"/>
        <w:textAlignment w:val="auto"/>
        <w:rPr>
          <w:rFonts w:ascii="仿宋" w:hAnsi="仿宋" w:eastAsia="仿宋" w:cs="仿宋"/>
          <w:sz w:val="32"/>
          <w:szCs w:val="32"/>
        </w:rPr>
      </w:pPr>
    </w:p>
    <w:p>
      <w:pPr>
        <w:pStyle w:val="10"/>
        <w:pageBreakBefore w:val="0"/>
        <w:kinsoku/>
        <w:wordWrap/>
        <w:overflowPunct/>
        <w:topLinePunct w:val="0"/>
        <w:bidi w:val="0"/>
        <w:spacing w:line="600" w:lineRule="exact"/>
        <w:ind w:right="0" w:rightChars="0"/>
        <w:jc w:val="left"/>
        <w:textAlignment w:val="auto"/>
        <w:rPr>
          <w:rFonts w:ascii="仿宋" w:hAnsi="仿宋" w:eastAsia="仿宋" w:cs="仿宋"/>
          <w:sz w:val="32"/>
          <w:szCs w:val="32"/>
        </w:rPr>
      </w:pPr>
    </w:p>
    <w:p>
      <w:pPr>
        <w:pStyle w:val="10"/>
        <w:pageBreakBefore w:val="0"/>
        <w:kinsoku/>
        <w:wordWrap/>
        <w:overflowPunct/>
        <w:topLinePunct w:val="0"/>
        <w:bidi w:val="0"/>
        <w:spacing w:line="600" w:lineRule="exact"/>
        <w:ind w:right="0" w:rightChars="0"/>
        <w:jc w:val="left"/>
        <w:textAlignment w:val="auto"/>
        <w:rPr>
          <w:rFonts w:ascii="仿宋" w:hAnsi="仿宋" w:eastAsia="仿宋" w:cs="仿宋"/>
          <w:sz w:val="32"/>
          <w:szCs w:val="32"/>
        </w:rPr>
      </w:pPr>
    </w:p>
    <w:p>
      <w:pPr>
        <w:pStyle w:val="10"/>
        <w:pageBreakBefore w:val="0"/>
        <w:kinsoku/>
        <w:wordWrap/>
        <w:overflowPunct/>
        <w:topLinePunct w:val="0"/>
        <w:bidi w:val="0"/>
        <w:spacing w:line="600" w:lineRule="exact"/>
        <w:ind w:right="0" w:rightChars="0"/>
        <w:jc w:val="left"/>
        <w:textAlignment w:val="auto"/>
        <w:rPr>
          <w:rFonts w:ascii="仿宋" w:hAnsi="仿宋" w:eastAsia="仿宋" w:cs="仿宋"/>
          <w:sz w:val="32"/>
          <w:szCs w:val="32"/>
        </w:rPr>
      </w:pPr>
    </w:p>
    <w:p>
      <w:pPr>
        <w:pStyle w:val="10"/>
        <w:pageBreakBefore w:val="0"/>
        <w:kinsoku/>
        <w:wordWrap/>
        <w:overflowPunct/>
        <w:topLinePunct w:val="0"/>
        <w:bidi w:val="0"/>
        <w:spacing w:line="600" w:lineRule="exact"/>
        <w:ind w:right="0" w:rightChars="0"/>
        <w:jc w:val="left"/>
        <w:textAlignment w:val="auto"/>
        <w:rPr>
          <w:rFonts w:ascii="仿宋" w:hAnsi="仿宋" w:eastAsia="仿宋" w:cs="仿宋"/>
          <w:sz w:val="32"/>
          <w:szCs w:val="32"/>
        </w:rPr>
      </w:pPr>
    </w:p>
    <w:p>
      <w:pPr>
        <w:pStyle w:val="10"/>
        <w:pageBreakBefore w:val="0"/>
        <w:kinsoku/>
        <w:wordWrap/>
        <w:overflowPunct/>
        <w:topLinePunct w:val="0"/>
        <w:bidi w:val="0"/>
        <w:spacing w:line="600" w:lineRule="exact"/>
        <w:ind w:right="0" w:rightChars="0"/>
        <w:jc w:val="left"/>
        <w:textAlignment w:val="auto"/>
        <w:rPr>
          <w:rFonts w:ascii="仿宋" w:hAnsi="仿宋" w:eastAsia="仿宋" w:cs="仿宋"/>
          <w:sz w:val="32"/>
          <w:szCs w:val="32"/>
        </w:rPr>
      </w:pPr>
    </w:p>
    <w:p>
      <w:pPr>
        <w:pStyle w:val="10"/>
        <w:pageBreakBefore w:val="0"/>
        <w:kinsoku/>
        <w:wordWrap/>
        <w:overflowPunct/>
        <w:topLinePunct w:val="0"/>
        <w:bidi w:val="0"/>
        <w:spacing w:line="600" w:lineRule="exact"/>
        <w:ind w:right="0" w:rightChars="0" w:firstLine="640" w:firstLineChars="200"/>
        <w:jc w:val="left"/>
        <w:textAlignment w:val="auto"/>
        <w:rPr>
          <w:rFonts w:hint="eastAsia" w:ascii="黑体" w:hAnsi="黑体" w:eastAsia="黑体" w:cs="黑体"/>
          <w:sz w:val="32"/>
          <w:szCs w:val="32"/>
        </w:rPr>
      </w:pPr>
    </w:p>
    <w:p>
      <w:pPr>
        <w:pStyle w:val="10"/>
        <w:pageBreakBefore w:val="0"/>
        <w:kinsoku/>
        <w:wordWrap/>
        <w:overflowPunct/>
        <w:topLinePunct w:val="0"/>
        <w:bidi w:val="0"/>
        <w:spacing w:line="600" w:lineRule="exact"/>
        <w:ind w:right="0" w:rightChars="0" w:firstLine="640" w:firstLineChars="200"/>
        <w:jc w:val="left"/>
        <w:textAlignment w:val="auto"/>
        <w:rPr>
          <w:rFonts w:hint="eastAsia" w:ascii="黑体" w:hAnsi="黑体" w:eastAsia="黑体" w:cs="黑体"/>
          <w:sz w:val="32"/>
          <w:szCs w:val="32"/>
        </w:rPr>
      </w:pPr>
    </w:p>
    <w:p>
      <w:pPr>
        <w:pStyle w:val="10"/>
        <w:pageBreakBefore w:val="0"/>
        <w:kinsoku/>
        <w:wordWrap/>
        <w:overflowPunct/>
        <w:topLinePunct w:val="0"/>
        <w:bidi w:val="0"/>
        <w:spacing w:line="600" w:lineRule="exact"/>
        <w:ind w:right="0" w:rightChars="0" w:firstLine="640" w:firstLineChars="200"/>
        <w:jc w:val="left"/>
        <w:textAlignment w:val="auto"/>
        <w:rPr>
          <w:rFonts w:hint="eastAsia" w:ascii="黑体" w:hAnsi="黑体" w:eastAsia="黑体" w:cs="黑体"/>
          <w:sz w:val="32"/>
          <w:szCs w:val="32"/>
        </w:rPr>
      </w:pPr>
    </w:p>
    <w:p>
      <w:pPr>
        <w:pStyle w:val="10"/>
        <w:pageBreakBefore w:val="0"/>
        <w:kinsoku/>
        <w:wordWrap/>
        <w:overflowPunct/>
        <w:topLinePunct w:val="0"/>
        <w:bidi w:val="0"/>
        <w:spacing w:line="600" w:lineRule="exact"/>
        <w:ind w:right="0" w:righ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一、基本情况</w:t>
      </w:r>
    </w:p>
    <w:p>
      <w:pPr>
        <w:pStyle w:val="10"/>
        <w:pageBreakBefore w:val="0"/>
        <w:kinsoku/>
        <w:wordWrap/>
        <w:overflowPunct/>
        <w:topLinePunct w:val="0"/>
        <w:bidi w:val="0"/>
        <w:spacing w:line="600" w:lineRule="exact"/>
        <w:ind w:right="0" w:rightChars="0" w:firstLine="643" w:firstLineChars="200"/>
        <w:jc w:val="left"/>
        <w:textAlignment w:val="auto"/>
        <w:rPr>
          <w:b/>
          <w:bCs/>
          <w:sz w:val="32"/>
          <w:szCs w:val="32"/>
        </w:rPr>
      </w:pPr>
      <w:r>
        <w:rPr>
          <w:rFonts w:hint="eastAsia"/>
          <w:b/>
          <w:bCs/>
          <w:sz w:val="32"/>
          <w:szCs w:val="32"/>
        </w:rPr>
        <w:t>（一）</w:t>
      </w:r>
      <w:r>
        <w:rPr>
          <w:rFonts w:hint="eastAsia"/>
          <w:b/>
          <w:bCs/>
          <w:sz w:val="32"/>
          <w:szCs w:val="32"/>
          <w:lang w:eastAsia="zh-CN"/>
        </w:rPr>
        <w:t>单位</w:t>
      </w:r>
      <w:r>
        <w:rPr>
          <w:rFonts w:hint="eastAsia"/>
          <w:b/>
          <w:bCs/>
          <w:sz w:val="32"/>
          <w:szCs w:val="32"/>
        </w:rPr>
        <w:t>职责</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ascii="仿宋_GB2312" w:hAnsi="黑体" w:eastAsia="仿宋_GB2312" w:cs="宋体"/>
          <w:kern w:val="0"/>
          <w:sz w:val="32"/>
          <w:szCs w:val="32"/>
        </w:rPr>
      </w:pPr>
      <w:r>
        <w:rPr>
          <w:rFonts w:hint="eastAsia" w:ascii="仿宋_GB2312" w:hAnsi="黑体" w:eastAsia="仿宋_GB2312" w:cs="宋体"/>
          <w:kern w:val="0"/>
          <w:sz w:val="32"/>
          <w:szCs w:val="32"/>
        </w:rPr>
        <w:t>兰州市机构编制委员会办公室为中共兰州市委的工作部门。兰州市机构编制委员会办公室主要职责有：</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ascii="仿宋_GB2312" w:hAnsi="黑体" w:eastAsia="仿宋_GB2312" w:cs="宋体"/>
          <w:kern w:val="0"/>
          <w:sz w:val="32"/>
          <w:szCs w:val="32"/>
        </w:rPr>
      </w:pPr>
      <w:r>
        <w:rPr>
          <w:rFonts w:hint="eastAsia" w:ascii="仿宋_GB2312" w:hAnsi="黑体" w:eastAsia="仿宋_GB2312" w:cs="宋体"/>
          <w:kern w:val="0"/>
          <w:sz w:val="32"/>
          <w:szCs w:val="32"/>
        </w:rPr>
        <w:t>（一）贯彻执行党和国家以及省、市有关行政管理体制、机构改革和机构编制管理的政策法规；拟订全市行政管理体制和机构改革以及机构编制管理的政策规定。</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ascii="仿宋_GB2312" w:hAnsi="黑体" w:eastAsia="仿宋_GB2312" w:cs="宋体"/>
          <w:kern w:val="0"/>
          <w:sz w:val="32"/>
          <w:szCs w:val="32"/>
        </w:rPr>
      </w:pPr>
      <w:r>
        <w:rPr>
          <w:rFonts w:hint="eastAsia" w:ascii="仿宋_GB2312" w:hAnsi="黑体" w:eastAsia="仿宋_GB2312" w:cs="宋体"/>
          <w:kern w:val="0"/>
          <w:sz w:val="32"/>
          <w:szCs w:val="32"/>
        </w:rPr>
        <w:t>（二）开展全市行政管理体制改革的调查和理论研究，提出相关政策建议和措施。</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ascii="仿宋_GB2312" w:hAnsi="黑体" w:eastAsia="仿宋_GB2312" w:cs="宋体"/>
          <w:kern w:val="0"/>
          <w:sz w:val="32"/>
          <w:szCs w:val="32"/>
        </w:rPr>
      </w:pPr>
      <w:r>
        <w:rPr>
          <w:rFonts w:hint="eastAsia" w:ascii="仿宋_GB2312" w:hAnsi="黑体" w:eastAsia="仿宋_GB2312" w:cs="宋体"/>
          <w:kern w:val="0"/>
          <w:sz w:val="32"/>
          <w:szCs w:val="32"/>
        </w:rPr>
        <w:t>（三）拟订全市行政管理体制与机构改革总体方案并组织实施。</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ascii="仿宋_GB2312" w:hAnsi="黑体" w:eastAsia="仿宋_GB2312" w:cs="宋体"/>
          <w:kern w:val="0"/>
          <w:sz w:val="32"/>
          <w:szCs w:val="32"/>
        </w:rPr>
      </w:pPr>
      <w:r>
        <w:rPr>
          <w:rFonts w:hint="eastAsia" w:ascii="仿宋_GB2312" w:hAnsi="黑体" w:eastAsia="仿宋_GB2312" w:cs="宋体"/>
          <w:kern w:val="0"/>
          <w:sz w:val="32"/>
          <w:szCs w:val="32"/>
        </w:rPr>
        <w:t>（四）统一管理全市各级党委、人大、政府、政协、法院、检察院机关及民主党派、人民团体机关的机构编制工作。</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ascii="仿宋_GB2312" w:hAnsi="黑体" w:eastAsia="仿宋_GB2312" w:cs="宋体"/>
          <w:kern w:val="0"/>
          <w:sz w:val="32"/>
          <w:szCs w:val="32"/>
        </w:rPr>
      </w:pPr>
      <w:r>
        <w:rPr>
          <w:rFonts w:hint="eastAsia" w:ascii="仿宋_GB2312" w:hAnsi="黑体" w:eastAsia="仿宋_GB2312" w:cs="宋体"/>
          <w:kern w:val="0"/>
          <w:sz w:val="32"/>
          <w:szCs w:val="32"/>
        </w:rPr>
        <w:t>（五）协调市委、市政府各部门的职责配置及有关调整事项，协调市委、市政府各部门之间以及市级各部门与县、区之间的职责分工。</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ascii="仿宋_GB2312" w:hAnsi="黑体" w:eastAsia="仿宋_GB2312" w:cs="宋体"/>
          <w:kern w:val="0"/>
          <w:sz w:val="32"/>
          <w:szCs w:val="32"/>
        </w:rPr>
      </w:pPr>
      <w:r>
        <w:rPr>
          <w:rFonts w:hint="eastAsia" w:ascii="仿宋_GB2312" w:hAnsi="黑体" w:eastAsia="仿宋_GB2312" w:cs="宋体"/>
          <w:kern w:val="0"/>
          <w:sz w:val="32"/>
          <w:szCs w:val="32"/>
        </w:rPr>
        <w:t>（六）审核市级行政机关机构设置、职责配置和人员编制，对其执行情况进行监督检查和评估，并按规定程序办理相关调整事宜。</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ascii="仿宋_GB2312" w:hAnsi="黑体" w:eastAsia="仿宋_GB2312" w:cs="宋体"/>
          <w:kern w:val="0"/>
          <w:sz w:val="32"/>
          <w:szCs w:val="32"/>
        </w:rPr>
      </w:pPr>
      <w:r>
        <w:rPr>
          <w:rFonts w:hint="eastAsia" w:ascii="仿宋_GB2312" w:hAnsi="黑体" w:eastAsia="仿宋_GB2312" w:cs="宋体"/>
          <w:kern w:val="0"/>
          <w:sz w:val="32"/>
          <w:szCs w:val="32"/>
        </w:rPr>
        <w:t>（七）按机构编制审批权限，审核、审批市直机关及事业单位的科级机构、领导职数和人员编制的调整；审批县区科级行政、事业机构及人员编制的调整。</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ascii="仿宋_GB2312" w:hAnsi="黑体" w:eastAsia="仿宋_GB2312" w:cs="宋体"/>
          <w:kern w:val="0"/>
          <w:sz w:val="32"/>
          <w:szCs w:val="32"/>
        </w:rPr>
      </w:pPr>
      <w:r>
        <w:rPr>
          <w:rFonts w:hint="eastAsia" w:ascii="仿宋_GB2312" w:hAnsi="黑体" w:eastAsia="仿宋_GB2312" w:cs="宋体"/>
          <w:kern w:val="0"/>
          <w:sz w:val="32"/>
          <w:szCs w:val="32"/>
        </w:rPr>
        <w:t>（八）拟订全市事业单位管理体制和机构改革方案及有关配套政策、规定并组织实施；指导、协调市有关部门推进事业单位改革工作；按审批权限负责对事业单位的机构设置、职责配置、人员编制和经费来源等事项进行调整；指导县区事业单位改革和机构编制日常管理工作。</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ascii="仿宋_GB2312" w:hAnsi="黑体" w:eastAsia="仿宋_GB2312" w:cs="宋体"/>
          <w:kern w:val="0"/>
          <w:sz w:val="32"/>
          <w:szCs w:val="32"/>
        </w:rPr>
      </w:pPr>
      <w:r>
        <w:rPr>
          <w:rFonts w:hint="eastAsia" w:ascii="仿宋_GB2312" w:hAnsi="黑体" w:eastAsia="仿宋_GB2312" w:cs="宋体"/>
          <w:kern w:val="0"/>
          <w:sz w:val="32"/>
          <w:szCs w:val="32"/>
        </w:rPr>
        <w:t>（九）参与“三责联审”，负责机构编制责任审核工作；开展机构编制考核评估和责任追究。</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ascii="仿宋_GB2312" w:hAnsi="黑体" w:eastAsia="仿宋_GB2312" w:cs="宋体"/>
          <w:kern w:val="0"/>
          <w:sz w:val="32"/>
          <w:szCs w:val="32"/>
        </w:rPr>
      </w:pPr>
      <w:r>
        <w:rPr>
          <w:rFonts w:hint="eastAsia" w:ascii="仿宋_GB2312" w:hAnsi="黑体" w:eastAsia="仿宋_GB2312" w:cs="宋体"/>
          <w:kern w:val="0"/>
          <w:sz w:val="32"/>
          <w:szCs w:val="32"/>
        </w:rPr>
        <w:t>（十）监督检查全市各级行政管理体制和机构改革、机构编制执行情况；负责“12310”投诉举报电话的日常管理，根据机构编制管理有关规定查处机构编制违规违纪案件。</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ascii="仿宋_GB2312" w:hAnsi="黑体" w:eastAsia="仿宋_GB2312" w:cs="宋体"/>
          <w:kern w:val="0"/>
          <w:sz w:val="32"/>
          <w:szCs w:val="32"/>
        </w:rPr>
      </w:pPr>
      <w:r>
        <w:rPr>
          <w:rFonts w:hint="eastAsia" w:ascii="仿宋_GB2312" w:hAnsi="黑体" w:eastAsia="仿宋_GB2312" w:cs="宋体"/>
          <w:kern w:val="0"/>
          <w:sz w:val="32"/>
          <w:szCs w:val="32"/>
        </w:rPr>
        <w:t>（十一）指导全市各级事业单位的登记管理工作。</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ascii="仿宋" w:hAnsi="仿宋" w:eastAsia="仿宋"/>
          <w:sz w:val="32"/>
          <w:szCs w:val="32"/>
        </w:rPr>
      </w:pPr>
      <w:r>
        <w:rPr>
          <w:rFonts w:hint="eastAsia" w:ascii="仿宋_GB2312" w:hAnsi="黑体" w:eastAsia="仿宋_GB2312" w:cs="宋体"/>
          <w:kern w:val="0"/>
          <w:sz w:val="32"/>
          <w:szCs w:val="32"/>
        </w:rPr>
        <w:t>（十二）承办市委、市政府和市机构编制委员会及省编办交办的其他事项。</w:t>
      </w:r>
    </w:p>
    <w:p>
      <w:pPr>
        <w:pageBreakBefore w:val="0"/>
        <w:kinsoku/>
        <w:wordWrap/>
        <w:overflowPunct/>
        <w:topLinePunct w:val="0"/>
        <w:bidi w:val="0"/>
        <w:snapToGrid w:val="0"/>
        <w:spacing w:line="600" w:lineRule="exact"/>
        <w:ind w:right="0" w:rightChars="0" w:firstLine="643" w:firstLineChars="200"/>
        <w:textAlignment w:val="auto"/>
        <w:rPr>
          <w:rFonts w:ascii="宋体" w:hAnsi="宋体" w:cs="宋体"/>
          <w:b/>
          <w:bCs/>
          <w:sz w:val="32"/>
          <w:szCs w:val="32"/>
        </w:rPr>
      </w:pPr>
      <w:r>
        <w:rPr>
          <w:rFonts w:hint="eastAsia" w:ascii="宋体" w:hAnsi="宋体" w:cs="宋体"/>
          <w:b/>
          <w:bCs/>
          <w:sz w:val="32"/>
          <w:szCs w:val="32"/>
        </w:rPr>
        <w:t xml:space="preserve">（二）机构设置情况 </w:t>
      </w:r>
    </w:p>
    <w:p>
      <w:pPr>
        <w:pageBreakBefore w:val="0"/>
        <w:kinsoku/>
        <w:wordWrap/>
        <w:overflowPunct/>
        <w:topLinePunct w:val="0"/>
        <w:bidi w:val="0"/>
        <w:spacing w:line="600" w:lineRule="exact"/>
        <w:ind w:right="0" w:righ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lang w:eastAsia="zh-CN"/>
        </w:rPr>
        <w:t>市编办</w:t>
      </w:r>
      <w:r>
        <w:rPr>
          <w:rFonts w:hint="eastAsia" w:ascii="仿宋" w:hAnsi="仿宋" w:eastAsia="仿宋"/>
          <w:color w:val="000000"/>
          <w:sz w:val="32"/>
          <w:szCs w:val="32"/>
        </w:rPr>
        <w:t>下设</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个内设处室，分别为</w:t>
      </w:r>
      <w:r>
        <w:rPr>
          <w:rFonts w:hint="eastAsia" w:ascii="仿宋" w:hAnsi="仿宋" w:eastAsia="仿宋"/>
          <w:color w:val="000000"/>
          <w:sz w:val="32"/>
          <w:szCs w:val="32"/>
          <w:lang w:eastAsia="zh-CN"/>
        </w:rPr>
        <w:t>综合处</w:t>
      </w:r>
      <w:r>
        <w:rPr>
          <w:rFonts w:hint="eastAsia" w:ascii="仿宋" w:hAnsi="仿宋" w:eastAsia="仿宋"/>
          <w:color w:val="000000"/>
          <w:sz w:val="32"/>
          <w:szCs w:val="32"/>
        </w:rPr>
        <w:t>、</w:t>
      </w:r>
      <w:r>
        <w:rPr>
          <w:rFonts w:hint="eastAsia" w:ascii="仿宋" w:hAnsi="仿宋" w:eastAsia="仿宋"/>
          <w:color w:val="000000"/>
          <w:sz w:val="32"/>
          <w:szCs w:val="32"/>
          <w:lang w:eastAsia="zh-CN"/>
        </w:rPr>
        <w:t>体改处</w:t>
      </w:r>
      <w:r>
        <w:rPr>
          <w:rFonts w:hint="eastAsia" w:ascii="仿宋" w:hAnsi="仿宋" w:eastAsia="仿宋"/>
          <w:color w:val="000000"/>
          <w:sz w:val="32"/>
          <w:szCs w:val="32"/>
        </w:rPr>
        <w:t>、</w:t>
      </w:r>
      <w:r>
        <w:rPr>
          <w:rFonts w:hint="eastAsia" w:ascii="仿宋" w:hAnsi="仿宋" w:eastAsia="仿宋"/>
          <w:color w:val="000000"/>
          <w:sz w:val="32"/>
          <w:szCs w:val="32"/>
          <w:lang w:eastAsia="zh-CN"/>
        </w:rPr>
        <w:t>机关处</w:t>
      </w:r>
      <w:r>
        <w:rPr>
          <w:rFonts w:hint="eastAsia" w:ascii="仿宋" w:hAnsi="仿宋" w:eastAsia="仿宋"/>
          <w:color w:val="000000"/>
          <w:sz w:val="32"/>
          <w:szCs w:val="32"/>
        </w:rPr>
        <w:t>、</w:t>
      </w:r>
      <w:r>
        <w:rPr>
          <w:rFonts w:hint="eastAsia" w:ascii="仿宋" w:hAnsi="仿宋" w:eastAsia="仿宋"/>
          <w:color w:val="000000"/>
          <w:sz w:val="32"/>
          <w:szCs w:val="32"/>
          <w:lang w:eastAsia="zh-CN"/>
        </w:rPr>
        <w:t>审改处</w:t>
      </w:r>
      <w:r>
        <w:rPr>
          <w:rFonts w:hint="eastAsia" w:ascii="仿宋" w:hAnsi="仿宋" w:eastAsia="仿宋"/>
          <w:color w:val="000000"/>
          <w:sz w:val="32"/>
          <w:szCs w:val="32"/>
        </w:rPr>
        <w:t>、</w:t>
      </w:r>
      <w:r>
        <w:rPr>
          <w:rFonts w:hint="eastAsia" w:ascii="仿宋" w:hAnsi="仿宋" w:eastAsia="仿宋"/>
          <w:color w:val="000000"/>
          <w:sz w:val="32"/>
          <w:szCs w:val="32"/>
          <w:lang w:eastAsia="zh-CN"/>
        </w:rPr>
        <w:t>事业</w:t>
      </w:r>
      <w:r>
        <w:rPr>
          <w:rFonts w:hint="eastAsia" w:ascii="仿宋" w:hAnsi="仿宋" w:eastAsia="仿宋"/>
          <w:color w:val="000000"/>
          <w:sz w:val="32"/>
          <w:szCs w:val="32"/>
        </w:rPr>
        <w:t>处、</w:t>
      </w:r>
      <w:r>
        <w:rPr>
          <w:rFonts w:hint="eastAsia" w:ascii="仿宋" w:hAnsi="仿宋" w:eastAsia="仿宋"/>
          <w:color w:val="000000"/>
          <w:sz w:val="32"/>
          <w:szCs w:val="32"/>
          <w:lang w:eastAsia="zh-CN"/>
        </w:rPr>
        <w:t>县区</w:t>
      </w:r>
      <w:r>
        <w:rPr>
          <w:rFonts w:hint="eastAsia" w:ascii="仿宋" w:hAnsi="仿宋" w:eastAsia="仿宋"/>
          <w:color w:val="000000"/>
          <w:sz w:val="32"/>
          <w:szCs w:val="32"/>
        </w:rPr>
        <w:t>处、</w:t>
      </w:r>
      <w:r>
        <w:rPr>
          <w:rFonts w:hint="eastAsia" w:ascii="仿宋" w:hAnsi="仿宋" w:eastAsia="仿宋"/>
          <w:color w:val="000000"/>
          <w:sz w:val="32"/>
          <w:szCs w:val="32"/>
          <w:lang w:eastAsia="zh-CN"/>
        </w:rPr>
        <w:t>督查</w:t>
      </w:r>
      <w:r>
        <w:rPr>
          <w:rFonts w:hint="eastAsia" w:ascii="仿宋" w:hAnsi="仿宋" w:eastAsia="仿宋"/>
          <w:color w:val="000000"/>
          <w:sz w:val="32"/>
          <w:szCs w:val="32"/>
        </w:rPr>
        <w:t>处、</w:t>
      </w:r>
      <w:r>
        <w:rPr>
          <w:rFonts w:hint="eastAsia" w:ascii="仿宋" w:hAnsi="仿宋" w:eastAsia="仿宋"/>
          <w:color w:val="000000"/>
          <w:sz w:val="32"/>
          <w:szCs w:val="32"/>
          <w:lang w:eastAsia="zh-CN"/>
        </w:rPr>
        <w:t>事改</w:t>
      </w:r>
      <w:r>
        <w:rPr>
          <w:rFonts w:hint="eastAsia" w:ascii="仿宋" w:hAnsi="仿宋" w:eastAsia="仿宋"/>
          <w:color w:val="000000"/>
          <w:sz w:val="32"/>
          <w:szCs w:val="32"/>
        </w:rPr>
        <w:t>处</w:t>
      </w:r>
      <w:r>
        <w:rPr>
          <w:rFonts w:hint="eastAsia" w:ascii="仿宋" w:hAnsi="仿宋" w:eastAsia="仿宋"/>
          <w:color w:val="000000"/>
          <w:sz w:val="32"/>
          <w:szCs w:val="32"/>
          <w:lang w:eastAsia="zh-CN"/>
        </w:rPr>
        <w:t>。</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ascii="仿宋" w:hAnsi="仿宋" w:eastAsia="仿宋" w:cs="Times New Roman"/>
          <w:color w:val="000000"/>
          <w:sz w:val="32"/>
          <w:szCs w:val="32"/>
        </w:rPr>
      </w:pPr>
      <w:r>
        <w:rPr>
          <w:rFonts w:hint="eastAsia" w:ascii="仿宋_GB2312" w:hAnsi="黑体" w:eastAsia="仿宋_GB2312" w:cs="宋体"/>
          <w:kern w:val="0"/>
          <w:sz w:val="32"/>
          <w:szCs w:val="32"/>
          <w:lang w:eastAsia="zh-CN"/>
        </w:rPr>
        <w:t>市编办</w:t>
      </w:r>
      <w:r>
        <w:rPr>
          <w:rFonts w:hint="eastAsia" w:ascii="仿宋_GB2312" w:hAnsi="黑体" w:eastAsia="仿宋_GB2312" w:cs="宋体"/>
          <w:kern w:val="0"/>
          <w:sz w:val="32"/>
          <w:szCs w:val="32"/>
        </w:rPr>
        <w:t>为行政单位，县级建制，全额财政拨款，编制30名，</w:t>
      </w:r>
      <w:r>
        <w:rPr>
          <w:rFonts w:ascii="仿宋_GB2312" w:hAnsi="黑体" w:eastAsia="仿宋_GB2312" w:cs="宋体"/>
          <w:kern w:val="0"/>
          <w:sz w:val="32"/>
          <w:szCs w:val="32"/>
        </w:rPr>
        <w:t>201</w:t>
      </w:r>
      <w:r>
        <w:rPr>
          <w:rFonts w:hint="eastAsia" w:ascii="仿宋_GB2312" w:hAnsi="黑体" w:eastAsia="仿宋_GB2312" w:cs="宋体"/>
          <w:kern w:val="0"/>
          <w:sz w:val="32"/>
          <w:szCs w:val="32"/>
        </w:rPr>
        <w:t>7年年末实有人数30人，全部为在职人员。</w:t>
      </w:r>
    </w:p>
    <w:p>
      <w:pPr>
        <w:pageBreakBefore w:val="0"/>
        <w:kinsoku/>
        <w:wordWrap/>
        <w:overflowPunct/>
        <w:topLinePunct w:val="0"/>
        <w:bidi w:val="0"/>
        <w:spacing w:line="600" w:lineRule="exact"/>
        <w:ind w:right="0" w:rightChars="0"/>
        <w:textAlignment w:val="auto"/>
        <w:rPr>
          <w:rFonts w:ascii="宋体" w:hAnsi="宋体" w:cs="宋体"/>
          <w:b/>
          <w:sz w:val="32"/>
          <w:szCs w:val="32"/>
        </w:rPr>
      </w:pPr>
      <w:r>
        <w:rPr>
          <w:rFonts w:hint="eastAsia" w:ascii="宋体" w:hAnsi="宋体" w:cs="宋体"/>
          <w:b/>
          <w:sz w:val="32"/>
          <w:szCs w:val="32"/>
        </w:rPr>
        <w:t xml:space="preserve">　　（三）预算编报范围 </w:t>
      </w:r>
    </w:p>
    <w:p>
      <w:pPr>
        <w:pageBreakBefore w:val="0"/>
        <w:kinsoku/>
        <w:wordWrap/>
        <w:overflowPunct/>
        <w:topLinePunct w:val="0"/>
        <w:bidi w:val="0"/>
        <w:spacing w:line="600" w:lineRule="exact"/>
        <w:ind w:right="0" w:rightChars="0" w:firstLine="614" w:firstLineChars="192"/>
        <w:textAlignment w:val="auto"/>
        <w:rPr>
          <w:rFonts w:ascii="仿宋" w:hAnsi="仿宋" w:eastAsia="仿宋"/>
          <w:sz w:val="32"/>
          <w:szCs w:val="32"/>
        </w:rPr>
      </w:pPr>
      <w:r>
        <w:rPr>
          <w:rFonts w:hint="eastAsia" w:ascii="仿宋" w:hAnsi="仿宋" w:eastAsia="仿宋"/>
          <w:sz w:val="32"/>
          <w:szCs w:val="32"/>
        </w:rPr>
        <w:t>根据部门预算编报要求，纳入</w:t>
      </w:r>
      <w:r>
        <w:rPr>
          <w:rFonts w:hint="eastAsia" w:ascii="仿宋" w:hAnsi="仿宋" w:eastAsia="仿宋"/>
          <w:sz w:val="32"/>
          <w:szCs w:val="32"/>
          <w:lang w:eastAsia="zh-CN"/>
        </w:rPr>
        <w:t>兰州市机构编制委员会办公室</w:t>
      </w:r>
      <w:r>
        <w:rPr>
          <w:rFonts w:hint="eastAsia" w:ascii="仿宋" w:hAnsi="仿宋" w:eastAsia="仿宋"/>
          <w:sz w:val="32"/>
          <w:szCs w:val="32"/>
        </w:rPr>
        <w:t>部门预算包括：</w:t>
      </w:r>
      <w:r>
        <w:rPr>
          <w:rFonts w:hint="eastAsia" w:ascii="仿宋" w:hAnsi="仿宋" w:eastAsia="仿宋"/>
          <w:sz w:val="32"/>
          <w:szCs w:val="32"/>
          <w:lang w:eastAsia="zh-CN"/>
        </w:rPr>
        <w:t>兰州市机构编制委员会办公室</w:t>
      </w:r>
      <w:r>
        <w:rPr>
          <w:rFonts w:hint="eastAsia" w:ascii="仿宋" w:hAnsi="仿宋" w:eastAsia="仿宋"/>
          <w:sz w:val="32"/>
          <w:szCs w:val="32"/>
        </w:rPr>
        <w:t>本级预算。</w:t>
      </w:r>
    </w:p>
    <w:p>
      <w:pPr>
        <w:pageBreakBefore w:val="0"/>
        <w:kinsoku/>
        <w:wordWrap/>
        <w:overflowPunct/>
        <w:topLinePunct w:val="0"/>
        <w:bidi w:val="0"/>
        <w:spacing w:line="600" w:lineRule="exact"/>
        <w:ind w:right="0" w:rightChars="0"/>
        <w:textAlignment w:val="auto"/>
        <w:rPr>
          <w:rFonts w:ascii="黑体" w:hAnsi="黑体" w:eastAsia="黑体"/>
          <w:sz w:val="32"/>
          <w:szCs w:val="32"/>
        </w:rPr>
      </w:pPr>
      <w:r>
        <w:rPr>
          <w:rFonts w:hint="eastAsia" w:ascii="黑体" w:hAnsi="黑体" w:eastAsia="黑体"/>
          <w:kern w:val="0"/>
          <w:sz w:val="32"/>
          <w:szCs w:val="32"/>
        </w:rPr>
        <w:t>　　二、</w:t>
      </w:r>
      <w:r>
        <w:rPr>
          <w:rFonts w:hint="eastAsia" w:ascii="黑体" w:hAnsi="黑体" w:eastAsia="黑体"/>
          <w:sz w:val="32"/>
          <w:szCs w:val="32"/>
          <w:lang w:eastAsia="zh-CN"/>
        </w:rPr>
        <w:t>单位</w:t>
      </w:r>
      <w:r>
        <w:rPr>
          <w:rFonts w:hint="eastAsia" w:ascii="黑体" w:hAnsi="黑体" w:eastAsia="黑体"/>
          <w:sz w:val="32"/>
          <w:szCs w:val="32"/>
        </w:rPr>
        <w:t>预算表</w:t>
      </w:r>
    </w:p>
    <w:p>
      <w:pPr>
        <w:pageBreakBefore w:val="0"/>
        <w:kinsoku/>
        <w:wordWrap/>
        <w:overflowPunct/>
        <w:topLinePunct w:val="0"/>
        <w:bidi w:val="0"/>
        <w:spacing w:line="60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按照</w:t>
      </w:r>
      <w:r>
        <w:rPr>
          <w:rFonts w:hint="eastAsia" w:ascii="仿宋" w:hAnsi="仿宋" w:eastAsia="仿宋" w:cs="仿宋"/>
          <w:sz w:val="32"/>
          <w:szCs w:val="32"/>
          <w:lang w:eastAsia="zh-CN"/>
        </w:rPr>
        <w:t>单位</w:t>
      </w:r>
      <w:r>
        <w:rPr>
          <w:rFonts w:hint="eastAsia" w:ascii="仿宋" w:hAnsi="仿宋" w:eastAsia="仿宋" w:cs="仿宋"/>
          <w:sz w:val="32"/>
          <w:szCs w:val="32"/>
        </w:rPr>
        <w:t>预算公开要求，共有8张表格，分别是：预算收支总表、财政拨款收支总表、预算收入总表、预算支出总表、一般公共预算支出情况表、一般公共预算基本支出情况表、一般公共预算“三公”经费支出表、政府性基金预算支出表。具体内容详见附件。</w:t>
      </w:r>
    </w:p>
    <w:p>
      <w:pPr>
        <w:pageBreakBefore w:val="0"/>
        <w:numPr>
          <w:ilvl w:val="0"/>
          <w:numId w:val="1"/>
        </w:numPr>
        <w:kinsoku/>
        <w:wordWrap/>
        <w:overflowPunct/>
        <w:topLinePunct w:val="0"/>
        <w:bidi w:val="0"/>
        <w:spacing w:line="600" w:lineRule="exact"/>
        <w:ind w:right="0" w:rightChars="0" w:firstLine="643" w:firstLineChars="200"/>
        <w:textAlignment w:val="auto"/>
        <w:rPr>
          <w:rFonts w:ascii="宋体" w:hAnsi="宋体" w:cs="仿宋"/>
          <w:bCs/>
          <w:sz w:val="32"/>
          <w:szCs w:val="32"/>
        </w:rPr>
      </w:pPr>
      <w:r>
        <w:rPr>
          <w:rStyle w:val="7"/>
          <w:rFonts w:hint="eastAsia" w:ascii="黑体" w:hAnsi="黑体" w:eastAsia="黑体"/>
          <w:color w:val="000000"/>
          <w:sz w:val="32"/>
          <w:szCs w:val="32"/>
          <w:lang w:eastAsia="zh-CN"/>
        </w:rPr>
        <w:t>单位</w:t>
      </w:r>
      <w:r>
        <w:rPr>
          <w:rStyle w:val="7"/>
          <w:rFonts w:hint="eastAsia" w:ascii="黑体" w:hAnsi="黑体" w:eastAsia="黑体"/>
          <w:color w:val="000000"/>
          <w:sz w:val="32"/>
          <w:szCs w:val="32"/>
        </w:rPr>
        <w:t>预算情况说明</w:t>
      </w:r>
      <w:r>
        <w:rPr>
          <w:rFonts w:hint="eastAsia" w:ascii="黑体" w:hAnsi="黑体" w:eastAsia="黑体"/>
          <w:sz w:val="32"/>
          <w:szCs w:val="32"/>
        </w:rPr>
        <w:t xml:space="preserve"> </w:t>
      </w:r>
    </w:p>
    <w:p>
      <w:pPr>
        <w:pageBreakBefore w:val="0"/>
        <w:kinsoku/>
        <w:wordWrap/>
        <w:overflowPunct/>
        <w:topLinePunct w:val="0"/>
        <w:bidi w:val="0"/>
        <w:spacing w:line="600" w:lineRule="exact"/>
        <w:ind w:right="0" w:rightChars="0" w:firstLine="321" w:firstLineChars="100"/>
        <w:textAlignment w:val="auto"/>
        <w:rPr>
          <w:rFonts w:ascii="宋体" w:hAnsi="宋体" w:cs="仿宋"/>
          <w:b/>
          <w:bCs/>
          <w:sz w:val="32"/>
          <w:szCs w:val="32"/>
        </w:rPr>
      </w:pPr>
      <w:r>
        <w:rPr>
          <w:rStyle w:val="7"/>
          <w:rFonts w:hint="eastAsia" w:ascii="宋体" w:hAnsi="宋体" w:cs="宋体"/>
          <w:color w:val="000000"/>
          <w:sz w:val="32"/>
          <w:szCs w:val="32"/>
        </w:rPr>
        <w:t>（一）</w:t>
      </w:r>
      <w:r>
        <w:rPr>
          <w:rFonts w:hint="eastAsia" w:ascii="宋体" w:hAnsi="宋体" w:cs="仿宋"/>
          <w:b/>
          <w:bCs/>
          <w:sz w:val="32"/>
          <w:szCs w:val="32"/>
          <w:lang w:eastAsia="zh-CN"/>
        </w:rPr>
        <w:t>单位</w:t>
      </w:r>
      <w:r>
        <w:rPr>
          <w:rFonts w:hint="eastAsia" w:ascii="宋体" w:hAnsi="宋体" w:cs="仿宋"/>
          <w:b/>
          <w:bCs/>
          <w:sz w:val="32"/>
          <w:szCs w:val="32"/>
        </w:rPr>
        <w:t>预算收支总体情况说明</w:t>
      </w:r>
    </w:p>
    <w:p>
      <w:pPr>
        <w:pageBreakBefore w:val="0"/>
        <w:tabs>
          <w:tab w:val="left" w:pos="605"/>
        </w:tabs>
        <w:kinsoku/>
        <w:wordWrap/>
        <w:overflowPunct/>
        <w:topLinePunct w:val="0"/>
        <w:bidi w:val="0"/>
        <w:spacing w:line="600" w:lineRule="exact"/>
        <w:ind w:right="0" w:rightChars="0" w:firstLine="630"/>
        <w:textAlignment w:val="auto"/>
        <w:rPr>
          <w:rFonts w:hint="eastAsia" w:ascii="仿宋" w:hAnsi="仿宋" w:eastAsia="仿宋"/>
          <w:sz w:val="32"/>
          <w:szCs w:val="32"/>
        </w:rPr>
      </w:pPr>
      <w:r>
        <w:rPr>
          <w:rFonts w:hint="eastAsia" w:ascii="仿宋" w:hAnsi="仿宋" w:eastAsia="仿宋"/>
          <w:sz w:val="32"/>
          <w:szCs w:val="32"/>
        </w:rPr>
        <w:t>2018年财政拨款收支总预算</w:t>
      </w:r>
      <w:r>
        <w:rPr>
          <w:rFonts w:hint="eastAsia" w:ascii="仿宋" w:hAnsi="仿宋" w:eastAsia="仿宋"/>
          <w:sz w:val="32"/>
          <w:szCs w:val="32"/>
          <w:lang w:val="en-US" w:eastAsia="zh-CN"/>
        </w:rPr>
        <w:t>402.15</w:t>
      </w:r>
      <w:r>
        <w:rPr>
          <w:rFonts w:hint="eastAsia" w:ascii="仿宋" w:hAnsi="仿宋" w:eastAsia="仿宋"/>
          <w:sz w:val="32"/>
          <w:szCs w:val="32"/>
        </w:rPr>
        <w:t>万元，收入全部为一般公共预算拨款，无政府性基金预算拨款，包括：一般公共预算收入</w:t>
      </w:r>
      <w:r>
        <w:rPr>
          <w:rFonts w:hint="eastAsia" w:ascii="仿宋" w:hAnsi="仿宋" w:eastAsia="仿宋"/>
          <w:sz w:val="32"/>
          <w:szCs w:val="32"/>
          <w:lang w:val="en-US" w:eastAsia="zh-CN"/>
        </w:rPr>
        <w:t>402.15</w:t>
      </w:r>
      <w:r>
        <w:rPr>
          <w:rFonts w:hint="eastAsia" w:ascii="仿宋" w:hAnsi="仿宋" w:eastAsia="仿宋"/>
          <w:sz w:val="32"/>
          <w:szCs w:val="32"/>
        </w:rPr>
        <w:t>万元，无上年结转资金；支出包括：一般公共服务支出</w:t>
      </w:r>
      <w:r>
        <w:rPr>
          <w:rFonts w:hint="eastAsia" w:ascii="仿宋" w:hAnsi="仿宋" w:eastAsia="仿宋"/>
          <w:sz w:val="32"/>
          <w:szCs w:val="32"/>
          <w:lang w:val="en-US" w:eastAsia="zh-CN"/>
        </w:rPr>
        <w:t>320.20</w:t>
      </w:r>
      <w:r>
        <w:rPr>
          <w:rFonts w:hint="eastAsia" w:ascii="仿宋" w:hAnsi="仿宋" w:eastAsia="仿宋"/>
          <w:sz w:val="32"/>
          <w:szCs w:val="32"/>
        </w:rPr>
        <w:t>万元、教育支出</w:t>
      </w:r>
      <w:r>
        <w:rPr>
          <w:rFonts w:hint="eastAsia" w:ascii="仿宋" w:hAnsi="仿宋" w:eastAsia="仿宋"/>
          <w:sz w:val="32"/>
          <w:szCs w:val="32"/>
          <w:lang w:val="en-US" w:eastAsia="zh-CN"/>
        </w:rPr>
        <w:t>1</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40.57</w:t>
      </w:r>
      <w:r>
        <w:rPr>
          <w:rFonts w:hint="eastAsia" w:ascii="仿宋" w:hAnsi="仿宋" w:eastAsia="仿宋"/>
          <w:sz w:val="32"/>
          <w:szCs w:val="32"/>
        </w:rPr>
        <w:t>万元、医疗卫生与计划生育支出</w:t>
      </w:r>
      <w:r>
        <w:rPr>
          <w:rFonts w:hint="eastAsia" w:ascii="仿宋" w:hAnsi="仿宋" w:eastAsia="仿宋"/>
          <w:sz w:val="32"/>
          <w:szCs w:val="32"/>
          <w:lang w:val="en-US" w:eastAsia="zh-CN"/>
        </w:rPr>
        <w:t>20.44</w:t>
      </w:r>
      <w:r>
        <w:rPr>
          <w:rFonts w:hint="eastAsia" w:ascii="仿宋" w:hAnsi="仿宋" w:eastAsia="仿宋"/>
          <w:sz w:val="32"/>
          <w:szCs w:val="32"/>
        </w:rPr>
        <w:t>万元、住房保障支出</w:t>
      </w:r>
      <w:r>
        <w:rPr>
          <w:rFonts w:hint="eastAsia" w:ascii="仿宋" w:hAnsi="仿宋" w:eastAsia="仿宋"/>
          <w:sz w:val="32"/>
          <w:szCs w:val="32"/>
          <w:lang w:val="en-US" w:eastAsia="zh-CN"/>
        </w:rPr>
        <w:t>19.94</w:t>
      </w:r>
      <w:r>
        <w:rPr>
          <w:rFonts w:hint="eastAsia" w:ascii="仿宋" w:hAnsi="仿宋" w:eastAsia="仿宋"/>
          <w:sz w:val="32"/>
          <w:szCs w:val="32"/>
        </w:rPr>
        <w:t>万元。</w:t>
      </w:r>
    </w:p>
    <w:p>
      <w:pPr>
        <w:pageBreakBefore w:val="0"/>
        <w:kinsoku/>
        <w:wordWrap/>
        <w:overflowPunct/>
        <w:topLinePunct w:val="0"/>
        <w:bidi w:val="0"/>
        <w:spacing w:line="600" w:lineRule="exact"/>
        <w:ind w:right="0" w:rightChars="0" w:firstLine="643" w:firstLineChars="200"/>
        <w:textAlignment w:val="auto"/>
        <w:rPr>
          <w:rStyle w:val="7"/>
          <w:rFonts w:ascii="仿宋" w:hAnsi="仿宋" w:eastAsia="仿宋" w:cs="仿宋"/>
          <w:color w:val="000000"/>
          <w:sz w:val="32"/>
          <w:szCs w:val="32"/>
        </w:rPr>
      </w:pPr>
      <w:r>
        <w:rPr>
          <w:rStyle w:val="7"/>
          <w:rFonts w:hint="eastAsia" w:ascii="仿宋" w:hAnsi="仿宋" w:eastAsia="仿宋" w:cs="仿宋"/>
          <w:color w:val="000000"/>
          <w:sz w:val="32"/>
          <w:szCs w:val="32"/>
        </w:rPr>
        <w:t>1.2018年收入预算情况说明</w:t>
      </w:r>
    </w:p>
    <w:p>
      <w:pPr>
        <w:pageBreakBefore w:val="0"/>
        <w:kinsoku/>
        <w:wordWrap/>
        <w:overflowPunct/>
        <w:topLinePunct w:val="0"/>
        <w:bidi w:val="0"/>
        <w:spacing w:line="600" w:lineRule="exact"/>
        <w:ind w:right="0" w:rightChars="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2018年收入预算</w:t>
      </w:r>
      <w:r>
        <w:rPr>
          <w:rFonts w:hint="eastAsia" w:ascii="仿宋" w:hAnsi="仿宋" w:eastAsia="仿宋" w:cs="仿宋"/>
          <w:color w:val="000000"/>
          <w:sz w:val="32"/>
          <w:szCs w:val="32"/>
          <w:lang w:val="en-US" w:eastAsia="zh-CN"/>
        </w:rPr>
        <w:t>402.15</w:t>
      </w:r>
      <w:r>
        <w:rPr>
          <w:rFonts w:hint="eastAsia" w:ascii="仿宋" w:hAnsi="仿宋" w:eastAsia="仿宋" w:cs="仿宋"/>
          <w:color w:val="000000"/>
          <w:sz w:val="32"/>
          <w:szCs w:val="32"/>
        </w:rPr>
        <w:t>万元，无上年结转资金；一般公共预算拨款收入</w:t>
      </w:r>
      <w:r>
        <w:rPr>
          <w:rFonts w:hint="eastAsia" w:ascii="仿宋" w:hAnsi="仿宋" w:eastAsia="仿宋" w:cs="仿宋"/>
          <w:color w:val="000000"/>
          <w:sz w:val="32"/>
          <w:szCs w:val="32"/>
          <w:lang w:val="en-US" w:eastAsia="zh-CN"/>
        </w:rPr>
        <w:t>402.15</w:t>
      </w:r>
      <w:r>
        <w:rPr>
          <w:rFonts w:hint="eastAsia" w:ascii="仿宋" w:hAnsi="仿宋" w:eastAsia="仿宋" w:cs="仿宋"/>
          <w:color w:val="000000"/>
          <w:sz w:val="32"/>
          <w:szCs w:val="32"/>
        </w:rPr>
        <w:t>元，占100%</w:t>
      </w:r>
      <w:r>
        <w:rPr>
          <w:rFonts w:hint="eastAsia" w:ascii="仿宋" w:hAnsi="仿宋" w:eastAsia="仿宋" w:cs="仿宋"/>
          <w:color w:val="000000"/>
          <w:sz w:val="32"/>
          <w:szCs w:val="32"/>
          <w:lang w:eastAsia="zh-CN"/>
        </w:rPr>
        <w:t>。</w:t>
      </w:r>
    </w:p>
    <w:p>
      <w:pPr>
        <w:pageBreakBefore w:val="0"/>
        <w:kinsoku/>
        <w:wordWrap/>
        <w:overflowPunct/>
        <w:topLinePunct w:val="0"/>
        <w:bidi w:val="0"/>
        <w:spacing w:line="600" w:lineRule="exact"/>
        <w:ind w:right="0" w:rightChars="0" w:firstLine="643" w:firstLineChars="200"/>
        <w:textAlignment w:val="auto"/>
        <w:rPr>
          <w:rFonts w:ascii="宋体" w:hAnsi="宋体" w:cs="宋体"/>
          <w:b/>
          <w:bCs/>
          <w:color w:val="000000"/>
          <w:sz w:val="32"/>
          <w:szCs w:val="32"/>
        </w:rPr>
      </w:pPr>
      <w:r>
        <w:rPr>
          <w:rStyle w:val="7"/>
          <w:rFonts w:hint="eastAsia" w:ascii="仿宋" w:hAnsi="仿宋" w:eastAsia="仿宋" w:cs="仿宋"/>
          <w:color w:val="000000"/>
          <w:sz w:val="32"/>
          <w:szCs w:val="32"/>
        </w:rPr>
        <w:t>2.2018年支出预算情况说明</w:t>
      </w:r>
    </w:p>
    <w:p>
      <w:pPr>
        <w:pageBreakBefore w:val="0"/>
        <w:numPr>
          <w:ilvl w:val="0"/>
          <w:numId w:val="2"/>
        </w:numPr>
        <w:kinsoku/>
        <w:wordWrap/>
        <w:overflowPunct/>
        <w:topLinePunct w:val="0"/>
        <w:bidi w:val="0"/>
        <w:spacing w:line="600" w:lineRule="exact"/>
        <w:ind w:right="0" w:rightChars="0" w:firstLine="320" w:firstLineChars="1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2018年支出预算</w:t>
      </w:r>
      <w:r>
        <w:rPr>
          <w:rFonts w:hint="eastAsia" w:ascii="仿宋" w:hAnsi="仿宋" w:eastAsia="仿宋" w:cs="仿宋"/>
          <w:color w:val="000000"/>
          <w:sz w:val="32"/>
          <w:szCs w:val="32"/>
          <w:lang w:val="en-US" w:eastAsia="zh-CN"/>
        </w:rPr>
        <w:t>402.15</w:t>
      </w:r>
      <w:r>
        <w:rPr>
          <w:rFonts w:hint="eastAsia" w:ascii="仿宋" w:hAnsi="仿宋" w:eastAsia="仿宋" w:cs="仿宋"/>
          <w:color w:val="000000"/>
          <w:sz w:val="32"/>
          <w:szCs w:val="32"/>
        </w:rPr>
        <w:t>万元，其中：基本支出</w:t>
      </w:r>
      <w:r>
        <w:rPr>
          <w:rFonts w:hint="eastAsia" w:ascii="仿宋" w:hAnsi="仿宋" w:eastAsia="仿宋" w:cs="仿宋"/>
          <w:color w:val="000000"/>
          <w:sz w:val="32"/>
          <w:szCs w:val="32"/>
          <w:lang w:val="en-US" w:eastAsia="zh-CN"/>
        </w:rPr>
        <w:t>316.15</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79</w:t>
      </w:r>
      <w:r>
        <w:rPr>
          <w:rFonts w:hint="eastAsia" w:ascii="仿宋" w:hAnsi="仿宋" w:eastAsia="仿宋" w:cs="仿宋"/>
          <w:color w:val="000000"/>
          <w:sz w:val="32"/>
          <w:szCs w:val="32"/>
        </w:rPr>
        <w:t>%，项目支出</w:t>
      </w:r>
      <w:r>
        <w:rPr>
          <w:rFonts w:hint="eastAsia" w:ascii="仿宋" w:hAnsi="仿宋" w:eastAsia="仿宋" w:cs="仿宋"/>
          <w:color w:val="000000"/>
          <w:sz w:val="32"/>
          <w:szCs w:val="32"/>
          <w:lang w:val="en-US" w:eastAsia="zh-CN"/>
        </w:rPr>
        <w:t>86</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w:t>
      </w:r>
    </w:p>
    <w:p>
      <w:pPr>
        <w:pageBreakBefore w:val="0"/>
        <w:tabs>
          <w:tab w:val="left" w:pos="605"/>
        </w:tabs>
        <w:kinsoku/>
        <w:wordWrap/>
        <w:overflowPunct/>
        <w:topLinePunct w:val="0"/>
        <w:bidi w:val="0"/>
        <w:spacing w:line="600" w:lineRule="exact"/>
        <w:ind w:right="0" w:rightChars="0" w:firstLine="643" w:firstLineChars="200"/>
        <w:textAlignment w:val="auto"/>
        <w:rPr>
          <w:rStyle w:val="7"/>
          <w:rFonts w:hint="eastAsia" w:ascii="宋体" w:hAnsi="宋体" w:cs="仿宋"/>
          <w:color w:val="000000"/>
          <w:sz w:val="32"/>
          <w:szCs w:val="32"/>
        </w:rPr>
      </w:pPr>
      <w:r>
        <w:rPr>
          <w:rStyle w:val="7"/>
          <w:rFonts w:hint="eastAsia" w:ascii="宋体" w:hAnsi="宋体" w:cs="宋体"/>
          <w:color w:val="000000"/>
          <w:sz w:val="32"/>
          <w:szCs w:val="32"/>
        </w:rPr>
        <w:t>（</w:t>
      </w:r>
      <w:r>
        <w:rPr>
          <w:rStyle w:val="7"/>
          <w:rFonts w:hint="eastAsia" w:cs="宋体"/>
          <w:color w:val="000000"/>
          <w:sz w:val="32"/>
          <w:szCs w:val="32"/>
        </w:rPr>
        <w:t>二</w:t>
      </w:r>
      <w:r>
        <w:rPr>
          <w:rStyle w:val="7"/>
          <w:rFonts w:hint="eastAsia" w:ascii="宋体" w:hAnsi="宋体" w:cs="宋体"/>
          <w:color w:val="000000"/>
          <w:sz w:val="32"/>
          <w:szCs w:val="32"/>
        </w:rPr>
        <w:t>）</w:t>
      </w:r>
      <w:r>
        <w:rPr>
          <w:rFonts w:hint="eastAsia" w:ascii="宋体" w:hAnsi="宋体" w:cs="仿宋"/>
          <w:b/>
          <w:bCs/>
          <w:sz w:val="32"/>
          <w:szCs w:val="32"/>
        </w:rPr>
        <w:t>一般公共预算支出情况</w:t>
      </w:r>
      <w:r>
        <w:rPr>
          <w:rStyle w:val="7"/>
          <w:rFonts w:hint="eastAsia" w:ascii="宋体" w:hAnsi="宋体" w:cs="仿宋"/>
          <w:color w:val="000000"/>
          <w:sz w:val="32"/>
          <w:szCs w:val="32"/>
        </w:rPr>
        <w:t>说明</w:t>
      </w:r>
    </w:p>
    <w:p>
      <w:pPr>
        <w:pageBreakBefore w:val="0"/>
        <w:tabs>
          <w:tab w:val="left" w:pos="605"/>
        </w:tabs>
        <w:kinsoku/>
        <w:wordWrap/>
        <w:overflowPunct/>
        <w:topLinePunct w:val="0"/>
        <w:bidi w:val="0"/>
        <w:spacing w:line="600" w:lineRule="exact"/>
        <w:ind w:right="0" w:rightChars="0" w:firstLine="63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2018年一般公共预算财政拨款</w:t>
      </w:r>
      <w:r>
        <w:rPr>
          <w:rFonts w:hint="eastAsia" w:ascii="仿宋" w:hAnsi="仿宋" w:eastAsia="仿宋" w:cs="仿宋"/>
          <w:color w:val="000000"/>
          <w:sz w:val="32"/>
          <w:szCs w:val="32"/>
          <w:lang w:val="en-US" w:eastAsia="zh-CN"/>
        </w:rPr>
        <w:t>402.15</w:t>
      </w:r>
      <w:r>
        <w:rPr>
          <w:rFonts w:hint="eastAsia" w:ascii="仿宋" w:hAnsi="仿宋" w:eastAsia="仿宋" w:cs="仿宋"/>
          <w:color w:val="000000"/>
          <w:sz w:val="32"/>
          <w:szCs w:val="32"/>
        </w:rPr>
        <w:t>万元，比2017年预算执行数</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25.49</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%。主要原因是20</w:t>
      </w:r>
      <w:r>
        <w:rPr>
          <w:rFonts w:hint="eastAsia" w:ascii="仿宋" w:hAnsi="仿宋" w:eastAsia="仿宋" w:cs="仿宋"/>
          <w:color w:val="000000"/>
          <w:sz w:val="32"/>
          <w:szCs w:val="32"/>
          <w:lang w:val="en-US" w:eastAsia="zh-CN"/>
        </w:rPr>
        <w:t>18年</w:t>
      </w:r>
      <w:r>
        <w:rPr>
          <w:rFonts w:hint="eastAsia" w:ascii="仿宋_GB2312" w:hAnsi="黑体" w:eastAsia="仿宋_GB2312"/>
          <w:sz w:val="32"/>
          <w:szCs w:val="32"/>
        </w:rPr>
        <w:t>按照国家有关规定，在职人员工资有所增加</w:t>
      </w:r>
      <w:r>
        <w:rPr>
          <w:rFonts w:hint="eastAsia" w:ascii="仿宋_GB2312" w:hAnsi="黑体" w:eastAsia="仿宋_GB2312"/>
          <w:sz w:val="32"/>
          <w:szCs w:val="32"/>
          <w:lang w:eastAsia="zh-CN"/>
        </w:rPr>
        <w:t>。</w:t>
      </w:r>
    </w:p>
    <w:p>
      <w:pPr>
        <w:pageBreakBefore w:val="0"/>
        <w:numPr>
          <w:ilvl w:val="0"/>
          <w:numId w:val="3"/>
        </w:numPr>
        <w:tabs>
          <w:tab w:val="left" w:pos="605"/>
        </w:tabs>
        <w:kinsoku/>
        <w:wordWrap/>
        <w:overflowPunct/>
        <w:topLinePunct w:val="0"/>
        <w:bidi w:val="0"/>
        <w:spacing w:line="600" w:lineRule="exact"/>
        <w:ind w:right="0" w:rightChars="0"/>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一般公共服务支出（类）</w:t>
      </w:r>
    </w:p>
    <w:p>
      <w:pPr>
        <w:pageBreakBefore w:val="0"/>
        <w:numPr>
          <w:ilvl w:val="0"/>
          <w:numId w:val="0"/>
        </w:numPr>
        <w:tabs>
          <w:tab w:val="left" w:pos="605"/>
        </w:tabs>
        <w:kinsoku/>
        <w:wordWrap/>
        <w:overflowPunct/>
        <w:topLinePunct w:val="0"/>
        <w:bidi w:val="0"/>
        <w:spacing w:line="600" w:lineRule="exact"/>
        <w:ind w:right="0" w:rightChars="0" w:firstLine="640" w:firstLineChars="200"/>
        <w:textAlignment w:val="auto"/>
        <w:rPr>
          <w:rFonts w:hint="eastAsia" w:ascii="仿宋" w:hAnsi="仿宋" w:eastAsia="仿宋" w:cs="宋体"/>
          <w:sz w:val="32"/>
          <w:szCs w:val="32"/>
          <w:lang w:eastAsia="zh-CN"/>
        </w:rPr>
      </w:pPr>
      <w:r>
        <w:rPr>
          <w:rFonts w:hint="eastAsia" w:ascii="仿宋" w:hAnsi="仿宋" w:eastAsia="仿宋" w:cs="宋体"/>
          <w:sz w:val="32"/>
          <w:szCs w:val="32"/>
        </w:rPr>
        <w:t>党委办公厅（室）及相关机构事务（款）行政运行（项）2018年财政拨款预算</w:t>
      </w:r>
      <w:r>
        <w:rPr>
          <w:rFonts w:hint="eastAsia" w:ascii="仿宋" w:hAnsi="仿宋" w:eastAsia="仿宋" w:cs="宋体"/>
          <w:sz w:val="32"/>
          <w:szCs w:val="32"/>
          <w:lang w:val="en-US" w:eastAsia="zh-CN"/>
        </w:rPr>
        <w:t>320.20</w:t>
      </w:r>
      <w:r>
        <w:rPr>
          <w:rFonts w:hint="eastAsia" w:ascii="仿宋" w:hAnsi="仿宋" w:eastAsia="仿宋" w:cs="宋体"/>
          <w:sz w:val="32"/>
          <w:szCs w:val="32"/>
        </w:rPr>
        <w:t>万元，基本支出</w:t>
      </w:r>
      <w:r>
        <w:rPr>
          <w:rFonts w:hint="eastAsia" w:ascii="仿宋" w:hAnsi="仿宋" w:eastAsia="仿宋" w:cs="宋体"/>
          <w:sz w:val="32"/>
          <w:szCs w:val="32"/>
          <w:lang w:val="en-US" w:eastAsia="zh-CN"/>
        </w:rPr>
        <w:t>234.20</w:t>
      </w:r>
      <w:r>
        <w:rPr>
          <w:rFonts w:hint="eastAsia" w:ascii="仿宋" w:hAnsi="仿宋" w:eastAsia="仿宋" w:cs="宋体"/>
          <w:sz w:val="32"/>
          <w:szCs w:val="32"/>
        </w:rPr>
        <w:t>万元，项目支出</w:t>
      </w:r>
      <w:r>
        <w:rPr>
          <w:rFonts w:hint="eastAsia" w:ascii="仿宋" w:hAnsi="仿宋" w:eastAsia="仿宋" w:cs="宋体"/>
          <w:sz w:val="32"/>
          <w:szCs w:val="32"/>
          <w:lang w:val="en-US" w:eastAsia="zh-CN"/>
        </w:rPr>
        <w:t>86</w:t>
      </w:r>
      <w:r>
        <w:rPr>
          <w:rFonts w:hint="eastAsia" w:ascii="仿宋" w:hAnsi="仿宋" w:eastAsia="仿宋" w:cs="宋体"/>
          <w:sz w:val="32"/>
          <w:szCs w:val="32"/>
        </w:rPr>
        <w:t>万元，占比</w:t>
      </w:r>
      <w:r>
        <w:rPr>
          <w:rFonts w:hint="eastAsia" w:ascii="仿宋" w:hAnsi="仿宋" w:eastAsia="仿宋" w:cs="宋体"/>
          <w:sz w:val="32"/>
          <w:szCs w:val="32"/>
          <w:lang w:val="en-US" w:eastAsia="zh-CN"/>
        </w:rPr>
        <w:t>80</w:t>
      </w:r>
      <w:r>
        <w:rPr>
          <w:rFonts w:hint="eastAsia" w:ascii="仿宋" w:hAnsi="仿宋" w:eastAsia="仿宋" w:cs="宋体"/>
          <w:sz w:val="32"/>
          <w:szCs w:val="32"/>
        </w:rPr>
        <w:t>%，较上年减少</w:t>
      </w:r>
      <w:r>
        <w:rPr>
          <w:rFonts w:hint="eastAsia" w:ascii="仿宋" w:hAnsi="仿宋" w:eastAsia="仿宋" w:cs="宋体"/>
          <w:sz w:val="32"/>
          <w:szCs w:val="32"/>
          <w:lang w:val="en-US" w:eastAsia="zh-CN"/>
        </w:rPr>
        <w:t>26.26</w:t>
      </w:r>
      <w:r>
        <w:rPr>
          <w:rFonts w:hint="eastAsia" w:ascii="仿宋" w:hAnsi="仿宋" w:eastAsia="仿宋" w:cs="宋体"/>
          <w:sz w:val="32"/>
          <w:szCs w:val="32"/>
        </w:rPr>
        <w:t>万元，下降</w:t>
      </w:r>
      <w:r>
        <w:rPr>
          <w:rFonts w:hint="eastAsia" w:ascii="仿宋" w:hAnsi="仿宋" w:eastAsia="仿宋" w:cs="宋体"/>
          <w:sz w:val="32"/>
          <w:szCs w:val="32"/>
          <w:lang w:val="en-US" w:eastAsia="zh-CN"/>
        </w:rPr>
        <w:t>22</w:t>
      </w:r>
      <w:r>
        <w:rPr>
          <w:rFonts w:hint="eastAsia" w:ascii="仿宋" w:hAnsi="仿宋" w:eastAsia="仿宋" w:cs="宋体"/>
          <w:sz w:val="32"/>
          <w:szCs w:val="32"/>
        </w:rPr>
        <w:t>%</w:t>
      </w:r>
      <w:r>
        <w:rPr>
          <w:rFonts w:hint="eastAsia" w:ascii="仿宋" w:hAnsi="仿宋" w:eastAsia="仿宋" w:cs="宋体"/>
          <w:sz w:val="32"/>
          <w:szCs w:val="32"/>
          <w:lang w:eastAsia="zh-CN"/>
        </w:rPr>
        <w:t>，</w:t>
      </w:r>
      <w:r>
        <w:rPr>
          <w:rFonts w:hint="eastAsia" w:ascii="仿宋" w:hAnsi="仿宋" w:eastAsia="仿宋" w:cs="宋体"/>
          <w:sz w:val="32"/>
          <w:szCs w:val="32"/>
        </w:rPr>
        <w:t>主要原因</w:t>
      </w:r>
      <w:r>
        <w:rPr>
          <w:rFonts w:hint="eastAsia" w:ascii="仿宋_GB2312" w:eastAsia="仿宋_GB2312"/>
          <w:sz w:val="32"/>
          <w:szCs w:val="32"/>
        </w:rPr>
        <w:t>减少了印刷费及培训费的开支</w:t>
      </w:r>
      <w:r>
        <w:rPr>
          <w:rFonts w:hint="eastAsia" w:ascii="仿宋_GB2312" w:eastAsia="仿宋_GB2312"/>
          <w:sz w:val="32"/>
          <w:szCs w:val="32"/>
          <w:lang w:eastAsia="zh-CN"/>
        </w:rPr>
        <w:t>。</w:t>
      </w:r>
    </w:p>
    <w:p>
      <w:pPr>
        <w:pageBreakBefore w:val="0"/>
        <w:numPr>
          <w:ilvl w:val="0"/>
          <w:numId w:val="3"/>
        </w:numPr>
        <w:tabs>
          <w:tab w:val="left" w:pos="605"/>
        </w:tabs>
        <w:kinsoku/>
        <w:wordWrap/>
        <w:overflowPunct/>
        <w:topLinePunct w:val="0"/>
        <w:bidi w:val="0"/>
        <w:spacing w:line="600" w:lineRule="exact"/>
        <w:ind w:right="0" w:rightChars="0"/>
        <w:textAlignment w:val="auto"/>
        <w:rPr>
          <w:rStyle w:val="7"/>
          <w:rFonts w:hint="eastAsia" w:ascii="仿宋" w:hAnsi="仿宋" w:eastAsia="仿宋" w:cs="仿宋"/>
          <w:color w:val="000000"/>
          <w:kern w:val="0"/>
          <w:sz w:val="32"/>
          <w:szCs w:val="32"/>
        </w:rPr>
      </w:pPr>
      <w:r>
        <w:rPr>
          <w:rStyle w:val="7"/>
          <w:rFonts w:hint="eastAsia" w:ascii="仿宋" w:hAnsi="仿宋" w:eastAsia="仿宋" w:cs="仿宋"/>
          <w:color w:val="000000"/>
          <w:sz w:val="32"/>
          <w:szCs w:val="32"/>
        </w:rPr>
        <w:t>教育支出(类)</w:t>
      </w:r>
    </w:p>
    <w:p>
      <w:pPr>
        <w:pageBreakBefore w:val="0"/>
        <w:numPr>
          <w:ilvl w:val="0"/>
          <w:numId w:val="0"/>
        </w:numPr>
        <w:tabs>
          <w:tab w:val="left" w:pos="605"/>
        </w:tabs>
        <w:kinsoku/>
        <w:wordWrap/>
        <w:overflowPunct/>
        <w:topLinePunct w:val="0"/>
        <w:bidi w:val="0"/>
        <w:spacing w:line="600" w:lineRule="exact"/>
        <w:ind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olor w:val="000000"/>
          <w:sz w:val="32"/>
          <w:szCs w:val="32"/>
        </w:rPr>
        <w:t>进修及培训（款）培训支出（项）财政拨款预算</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万元，</w:t>
      </w:r>
      <w:r>
        <w:rPr>
          <w:rFonts w:hint="eastAsia" w:ascii="仿宋" w:hAnsi="仿宋" w:eastAsia="仿宋" w:cs="仿宋"/>
          <w:color w:val="000000"/>
          <w:sz w:val="32"/>
          <w:szCs w:val="32"/>
        </w:rPr>
        <w:t>占比0.</w:t>
      </w:r>
      <w:r>
        <w:rPr>
          <w:rFonts w:hint="eastAsia" w:ascii="仿宋" w:hAnsi="仿宋" w:eastAsia="仿宋" w:cs="仿宋"/>
          <w:color w:val="000000"/>
          <w:sz w:val="32"/>
          <w:szCs w:val="32"/>
          <w:lang w:val="en-US" w:eastAsia="zh-CN"/>
        </w:rPr>
        <w:t>78</w:t>
      </w:r>
      <w:r>
        <w:rPr>
          <w:rFonts w:hint="eastAsia" w:ascii="仿宋" w:hAnsi="仿宋" w:eastAsia="仿宋" w:cs="仿宋"/>
          <w:color w:val="000000"/>
          <w:sz w:val="32"/>
          <w:szCs w:val="32"/>
        </w:rPr>
        <w:t>%，较上年增加</w:t>
      </w:r>
      <w:r>
        <w:rPr>
          <w:rFonts w:hint="eastAsia" w:ascii="仿宋" w:hAnsi="仿宋" w:eastAsia="仿宋" w:cs="仿宋"/>
          <w:color w:val="000000"/>
          <w:sz w:val="32"/>
          <w:szCs w:val="32"/>
          <w:lang w:val="en-US" w:eastAsia="zh-CN"/>
        </w:rPr>
        <w:t>0.10</w:t>
      </w:r>
      <w:r>
        <w:rPr>
          <w:rFonts w:hint="eastAsia" w:ascii="仿宋" w:hAnsi="仿宋" w:eastAsia="仿宋" w:cs="仿宋"/>
          <w:color w:val="000000"/>
          <w:sz w:val="32"/>
          <w:szCs w:val="32"/>
        </w:rPr>
        <w:t>万元，主要原因是人员增加，费用相应增加。</w:t>
      </w:r>
    </w:p>
    <w:p>
      <w:pPr>
        <w:pageBreakBefore w:val="0"/>
        <w:numPr>
          <w:ilvl w:val="0"/>
          <w:numId w:val="0"/>
        </w:numPr>
        <w:tabs>
          <w:tab w:val="left" w:pos="605"/>
        </w:tabs>
        <w:kinsoku/>
        <w:wordWrap/>
        <w:overflowPunct/>
        <w:topLinePunct w:val="0"/>
        <w:bidi w:val="0"/>
        <w:spacing w:line="600" w:lineRule="exact"/>
        <w:ind w:right="0" w:rightChars="0" w:firstLine="643" w:firstLineChars="200"/>
        <w:textAlignment w:val="auto"/>
        <w:rPr>
          <w:rStyle w:val="7"/>
          <w:rFonts w:hint="eastAsia" w:ascii="仿宋" w:hAnsi="仿宋" w:eastAsia="仿宋" w:cs="仿宋"/>
          <w:color w:val="000000"/>
          <w:kern w:val="0"/>
          <w:sz w:val="32"/>
          <w:szCs w:val="32"/>
        </w:rPr>
      </w:pPr>
      <w:r>
        <w:rPr>
          <w:rStyle w:val="7"/>
          <w:rFonts w:hint="eastAsia" w:ascii="仿宋" w:hAnsi="仿宋" w:eastAsia="仿宋" w:cs="仿宋"/>
          <w:color w:val="000000"/>
          <w:sz w:val="32"/>
          <w:szCs w:val="32"/>
          <w:lang w:val="en-US" w:eastAsia="zh-CN"/>
        </w:rPr>
        <w:t>3.</w:t>
      </w:r>
      <w:r>
        <w:rPr>
          <w:rStyle w:val="7"/>
          <w:rFonts w:hint="eastAsia" w:ascii="仿宋" w:hAnsi="仿宋" w:eastAsia="仿宋" w:cs="仿宋"/>
          <w:color w:val="000000"/>
          <w:sz w:val="32"/>
          <w:szCs w:val="32"/>
        </w:rPr>
        <w:t>社会保障和就业支出（类）</w:t>
      </w:r>
    </w:p>
    <w:p>
      <w:pPr>
        <w:pageBreakBefore w:val="0"/>
        <w:numPr>
          <w:ilvl w:val="0"/>
          <w:numId w:val="0"/>
        </w:numPr>
        <w:tabs>
          <w:tab w:val="left" w:pos="605"/>
        </w:tabs>
        <w:kinsoku/>
        <w:wordWrap/>
        <w:overflowPunct/>
        <w:topLinePunct w:val="0"/>
        <w:bidi w:val="0"/>
        <w:spacing w:line="60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行政事业单位离退休（款）归口管理的行政单离退休（项）财政拨款预算</w:t>
      </w:r>
      <w:r>
        <w:rPr>
          <w:rFonts w:hint="eastAsia" w:ascii="仿宋" w:hAnsi="仿宋" w:eastAsia="仿宋"/>
          <w:sz w:val="32"/>
          <w:szCs w:val="32"/>
          <w:lang w:val="en-US" w:eastAsia="zh-CN"/>
        </w:rPr>
        <w:t>40</w:t>
      </w:r>
      <w:r>
        <w:rPr>
          <w:rFonts w:hint="eastAsia" w:ascii="仿宋" w:hAnsi="仿宋" w:eastAsia="仿宋"/>
          <w:sz w:val="32"/>
          <w:szCs w:val="32"/>
        </w:rPr>
        <w:t>万元，</w:t>
      </w:r>
      <w:r>
        <w:rPr>
          <w:rFonts w:hint="eastAsia" w:ascii="仿宋" w:hAnsi="仿宋" w:eastAsia="仿宋" w:cs="仿宋"/>
          <w:color w:val="000000"/>
          <w:sz w:val="32"/>
          <w:szCs w:val="32"/>
        </w:rPr>
        <w:t>占比</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w:t>
      </w:r>
      <w:r>
        <w:rPr>
          <w:rFonts w:hint="eastAsia" w:ascii="仿宋" w:hAnsi="仿宋" w:eastAsia="仿宋" w:cs="仿宋"/>
          <w:sz w:val="32"/>
          <w:szCs w:val="32"/>
        </w:rPr>
        <w:t>此款项为基本支出，上年包含在一般公共服务支出中</w:t>
      </w:r>
      <w:r>
        <w:rPr>
          <w:rFonts w:hint="eastAsia" w:ascii="仿宋" w:hAnsi="仿宋" w:eastAsia="仿宋" w:cs="仿宋"/>
          <w:sz w:val="32"/>
          <w:szCs w:val="32"/>
          <w:lang w:eastAsia="zh-CN"/>
        </w:rPr>
        <w:t>。</w:t>
      </w:r>
    </w:p>
    <w:p>
      <w:pPr>
        <w:pageBreakBefore w:val="0"/>
        <w:numPr>
          <w:ilvl w:val="0"/>
          <w:numId w:val="0"/>
        </w:numPr>
        <w:tabs>
          <w:tab w:val="left" w:pos="605"/>
        </w:tabs>
        <w:kinsoku/>
        <w:wordWrap/>
        <w:overflowPunct/>
        <w:topLinePunct w:val="0"/>
        <w:bidi w:val="0"/>
        <w:spacing w:line="60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财政对其他社会保险基金的补助（款）财政对生育保险基金的补助（项）财政拨款预算</w:t>
      </w:r>
      <w:r>
        <w:rPr>
          <w:rFonts w:hint="eastAsia" w:ascii="仿宋" w:hAnsi="仿宋" w:eastAsia="仿宋"/>
          <w:sz w:val="32"/>
          <w:szCs w:val="32"/>
          <w:lang w:val="en-US" w:eastAsia="zh-CN"/>
        </w:rPr>
        <w:t>0.57</w:t>
      </w:r>
      <w:r>
        <w:rPr>
          <w:rFonts w:hint="eastAsia" w:ascii="仿宋" w:hAnsi="仿宋" w:eastAsia="仿宋"/>
          <w:sz w:val="32"/>
          <w:szCs w:val="32"/>
        </w:rPr>
        <w:t>万元，</w:t>
      </w:r>
      <w:r>
        <w:rPr>
          <w:rFonts w:hint="eastAsia" w:ascii="仿宋" w:hAnsi="仿宋" w:eastAsia="仿宋" w:cs="仿宋"/>
          <w:color w:val="000000"/>
          <w:sz w:val="32"/>
          <w:szCs w:val="32"/>
        </w:rPr>
        <w:t>占比0.</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w:t>
      </w:r>
      <w:r>
        <w:rPr>
          <w:rFonts w:hint="eastAsia" w:ascii="仿宋" w:hAnsi="仿宋" w:eastAsia="仿宋" w:cs="仿宋"/>
          <w:sz w:val="32"/>
          <w:szCs w:val="32"/>
        </w:rPr>
        <w:t>此款项为基本支出，上年部门预算中未包含。</w:t>
      </w:r>
    </w:p>
    <w:p>
      <w:pPr>
        <w:pageBreakBefore w:val="0"/>
        <w:numPr>
          <w:ilvl w:val="0"/>
          <w:numId w:val="0"/>
        </w:numPr>
        <w:tabs>
          <w:tab w:val="left" w:pos="605"/>
        </w:tabs>
        <w:kinsoku/>
        <w:wordWrap/>
        <w:overflowPunct/>
        <w:topLinePunct w:val="0"/>
        <w:bidi w:val="0"/>
        <w:spacing w:line="600" w:lineRule="exact"/>
        <w:ind w:left="630" w:leftChars="0" w:right="0" w:rightChars="0"/>
        <w:textAlignment w:val="auto"/>
        <w:rPr>
          <w:rStyle w:val="7"/>
          <w:rFonts w:hint="eastAsia" w:ascii="仿宋" w:hAnsi="仿宋" w:eastAsia="仿宋" w:cs="仿宋"/>
          <w:color w:val="000000"/>
          <w:kern w:val="0"/>
          <w:sz w:val="32"/>
          <w:szCs w:val="32"/>
        </w:rPr>
      </w:pPr>
      <w:r>
        <w:rPr>
          <w:rFonts w:hint="eastAsia" w:ascii="仿宋" w:hAnsi="仿宋" w:eastAsia="仿宋" w:cs="仿宋"/>
          <w:b/>
          <w:bCs/>
          <w:color w:val="000000"/>
          <w:sz w:val="32"/>
          <w:szCs w:val="32"/>
          <w:lang w:val="en-US" w:eastAsia="zh-CN"/>
        </w:rPr>
        <w:t>4.</w:t>
      </w:r>
      <w:r>
        <w:rPr>
          <w:rFonts w:hint="eastAsia" w:ascii="仿宋" w:hAnsi="仿宋" w:eastAsia="仿宋" w:cs="仿宋"/>
          <w:b/>
          <w:bCs/>
          <w:color w:val="000000"/>
          <w:sz w:val="32"/>
          <w:szCs w:val="32"/>
        </w:rPr>
        <w:t>医疗卫生与计划生育支出</w:t>
      </w:r>
      <w:r>
        <w:rPr>
          <w:rStyle w:val="7"/>
          <w:rFonts w:hint="eastAsia" w:ascii="仿宋" w:hAnsi="仿宋" w:eastAsia="仿宋" w:cs="仿宋"/>
          <w:color w:val="000000"/>
          <w:sz w:val="32"/>
          <w:szCs w:val="32"/>
        </w:rPr>
        <w:t>（类）</w:t>
      </w:r>
    </w:p>
    <w:p>
      <w:pPr>
        <w:pageBreakBefore w:val="0"/>
        <w:numPr>
          <w:ilvl w:val="0"/>
          <w:numId w:val="0"/>
        </w:numPr>
        <w:tabs>
          <w:tab w:val="left" w:pos="605"/>
        </w:tabs>
        <w:kinsoku/>
        <w:wordWrap/>
        <w:overflowPunct/>
        <w:topLinePunct w:val="0"/>
        <w:bidi w:val="0"/>
        <w:spacing w:line="60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行政事业单位医疗（款）行政单位医疗（项）</w:t>
      </w:r>
      <w:r>
        <w:rPr>
          <w:rFonts w:hint="eastAsia" w:ascii="仿宋" w:hAnsi="仿宋" w:eastAsia="仿宋"/>
          <w:sz w:val="32"/>
          <w:szCs w:val="32"/>
        </w:rPr>
        <w:t>财政拨款预算</w:t>
      </w:r>
      <w:r>
        <w:rPr>
          <w:rFonts w:hint="eastAsia" w:ascii="仿宋" w:hAnsi="仿宋" w:eastAsia="仿宋" w:cs="仿宋"/>
          <w:color w:val="000000"/>
          <w:sz w:val="32"/>
          <w:szCs w:val="32"/>
          <w:lang w:val="en-US" w:eastAsia="zh-CN"/>
        </w:rPr>
        <w:t>13.08</w:t>
      </w:r>
      <w:r>
        <w:rPr>
          <w:rFonts w:hint="eastAsia" w:ascii="仿宋" w:hAnsi="仿宋" w:eastAsia="仿宋" w:cs="仿宋"/>
          <w:color w:val="000000"/>
          <w:sz w:val="32"/>
          <w:szCs w:val="32"/>
        </w:rPr>
        <w:t>万元，占比</w:t>
      </w:r>
      <w:r>
        <w:rPr>
          <w:rFonts w:hint="eastAsia" w:ascii="仿宋" w:hAnsi="仿宋" w:eastAsia="仿宋" w:cs="仿宋"/>
          <w:color w:val="000000"/>
          <w:sz w:val="32"/>
          <w:szCs w:val="32"/>
          <w:lang w:val="en-US" w:eastAsia="zh-CN"/>
        </w:rPr>
        <w:t>3.26</w:t>
      </w:r>
      <w:r>
        <w:rPr>
          <w:rFonts w:hint="eastAsia" w:ascii="仿宋" w:hAnsi="仿宋" w:eastAsia="仿宋" w:cs="仿宋"/>
          <w:color w:val="000000"/>
          <w:sz w:val="32"/>
          <w:szCs w:val="32"/>
        </w:rPr>
        <w:t>%，</w:t>
      </w:r>
      <w:r>
        <w:rPr>
          <w:rFonts w:hint="eastAsia" w:ascii="仿宋" w:hAnsi="仿宋" w:eastAsia="仿宋" w:cs="仿宋"/>
          <w:sz w:val="32"/>
          <w:szCs w:val="32"/>
        </w:rPr>
        <w:t>此款项为基本支出，上年部门预算中未包含。</w:t>
      </w:r>
    </w:p>
    <w:p>
      <w:pPr>
        <w:pageBreakBefore w:val="0"/>
        <w:numPr>
          <w:ilvl w:val="0"/>
          <w:numId w:val="0"/>
        </w:numPr>
        <w:tabs>
          <w:tab w:val="left" w:pos="605"/>
        </w:tabs>
        <w:kinsoku/>
        <w:wordWrap/>
        <w:overflowPunct/>
        <w:topLinePunct w:val="0"/>
        <w:bidi w:val="0"/>
        <w:spacing w:line="60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行政事业单位医疗（款）公务员医疗补助（项）</w:t>
      </w:r>
      <w:r>
        <w:rPr>
          <w:rFonts w:hint="eastAsia" w:ascii="仿宋" w:hAnsi="仿宋" w:eastAsia="仿宋"/>
          <w:sz w:val="32"/>
          <w:szCs w:val="32"/>
        </w:rPr>
        <w:t>财政拨款预算</w:t>
      </w:r>
      <w:r>
        <w:rPr>
          <w:rFonts w:hint="eastAsia" w:ascii="仿宋" w:hAnsi="仿宋" w:eastAsia="仿宋" w:cs="仿宋"/>
          <w:color w:val="000000"/>
          <w:sz w:val="32"/>
          <w:szCs w:val="32"/>
          <w:lang w:val="en-US" w:eastAsia="zh-CN"/>
        </w:rPr>
        <w:t>7.36</w:t>
      </w:r>
      <w:r>
        <w:rPr>
          <w:rFonts w:hint="eastAsia" w:ascii="仿宋" w:hAnsi="仿宋" w:eastAsia="仿宋" w:cs="仿宋"/>
          <w:color w:val="000000"/>
          <w:sz w:val="32"/>
          <w:szCs w:val="32"/>
        </w:rPr>
        <w:t>万元，占比</w:t>
      </w:r>
      <w:r>
        <w:rPr>
          <w:rFonts w:hint="eastAsia" w:ascii="仿宋" w:hAnsi="仿宋" w:eastAsia="仿宋" w:cs="仿宋"/>
          <w:color w:val="000000"/>
          <w:sz w:val="32"/>
          <w:szCs w:val="32"/>
          <w:lang w:val="en-US" w:eastAsia="zh-CN"/>
        </w:rPr>
        <w:t>1.83</w:t>
      </w:r>
      <w:r>
        <w:rPr>
          <w:rFonts w:hint="eastAsia" w:ascii="仿宋" w:hAnsi="仿宋" w:eastAsia="仿宋" w:cs="仿宋"/>
          <w:color w:val="000000"/>
          <w:sz w:val="32"/>
          <w:szCs w:val="32"/>
        </w:rPr>
        <w:t>%，</w:t>
      </w:r>
      <w:r>
        <w:rPr>
          <w:rFonts w:hint="eastAsia" w:ascii="仿宋" w:hAnsi="仿宋" w:eastAsia="仿宋" w:cs="仿宋"/>
          <w:sz w:val="32"/>
          <w:szCs w:val="32"/>
        </w:rPr>
        <w:t>此款项为基本支出，上年部门预算中未包含</w:t>
      </w:r>
      <w:r>
        <w:rPr>
          <w:rFonts w:hint="eastAsia" w:ascii="仿宋" w:hAnsi="仿宋" w:eastAsia="仿宋" w:cs="仿宋"/>
          <w:sz w:val="32"/>
          <w:szCs w:val="32"/>
          <w:lang w:eastAsia="zh-CN"/>
        </w:rPr>
        <w:t>。</w:t>
      </w:r>
    </w:p>
    <w:p>
      <w:pPr>
        <w:pageBreakBefore w:val="0"/>
        <w:numPr>
          <w:ilvl w:val="0"/>
          <w:numId w:val="0"/>
        </w:numPr>
        <w:tabs>
          <w:tab w:val="left" w:pos="605"/>
        </w:tabs>
        <w:kinsoku/>
        <w:wordWrap/>
        <w:overflowPunct/>
        <w:topLinePunct w:val="0"/>
        <w:bidi w:val="0"/>
        <w:spacing w:line="600" w:lineRule="exact"/>
        <w:ind w:left="630" w:leftChars="0" w:right="0" w:rightChars="0"/>
        <w:textAlignment w:val="auto"/>
        <w:rPr>
          <w:rStyle w:val="7"/>
          <w:rFonts w:hint="eastAsia" w:ascii="仿宋" w:hAnsi="仿宋" w:eastAsia="仿宋" w:cs="仿宋"/>
          <w:color w:val="000000"/>
          <w:kern w:val="0"/>
          <w:sz w:val="32"/>
          <w:szCs w:val="32"/>
        </w:rPr>
      </w:pPr>
      <w:r>
        <w:rPr>
          <w:rStyle w:val="7"/>
          <w:rFonts w:hint="eastAsia" w:ascii="仿宋" w:hAnsi="仿宋" w:eastAsia="仿宋" w:cs="仿宋"/>
          <w:color w:val="000000"/>
          <w:sz w:val="32"/>
          <w:szCs w:val="32"/>
          <w:lang w:val="en-US" w:eastAsia="zh-CN"/>
        </w:rPr>
        <w:t>5.</w:t>
      </w:r>
      <w:r>
        <w:rPr>
          <w:rStyle w:val="7"/>
          <w:rFonts w:hint="eastAsia" w:ascii="仿宋" w:hAnsi="仿宋" w:eastAsia="仿宋" w:cs="仿宋"/>
          <w:color w:val="000000"/>
          <w:sz w:val="32"/>
          <w:szCs w:val="32"/>
        </w:rPr>
        <w:t>住房保障支出（类）</w:t>
      </w:r>
    </w:p>
    <w:p>
      <w:pPr>
        <w:pageBreakBefore w:val="0"/>
        <w:numPr>
          <w:ilvl w:val="0"/>
          <w:numId w:val="0"/>
        </w:numPr>
        <w:tabs>
          <w:tab w:val="left" w:pos="605"/>
        </w:tabs>
        <w:kinsoku/>
        <w:wordWrap/>
        <w:overflowPunct/>
        <w:topLinePunct w:val="0"/>
        <w:bidi w:val="0"/>
        <w:spacing w:line="60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sz w:val="32"/>
          <w:szCs w:val="32"/>
        </w:rPr>
        <w:t>住房改革支出（款）住房公积金（项）财政拨款预算</w:t>
      </w:r>
      <w:r>
        <w:rPr>
          <w:rFonts w:hint="eastAsia" w:ascii="仿宋" w:hAnsi="仿宋" w:eastAsia="仿宋"/>
          <w:sz w:val="32"/>
          <w:szCs w:val="32"/>
          <w:lang w:val="en-US" w:eastAsia="zh-CN"/>
        </w:rPr>
        <w:t>19.94</w:t>
      </w:r>
      <w:r>
        <w:rPr>
          <w:rFonts w:hint="eastAsia" w:ascii="仿宋" w:hAnsi="仿宋" w:eastAsia="仿宋"/>
          <w:sz w:val="32"/>
          <w:szCs w:val="32"/>
        </w:rPr>
        <w:t>万元，占比</w:t>
      </w:r>
      <w:r>
        <w:rPr>
          <w:rFonts w:hint="eastAsia" w:ascii="仿宋" w:hAnsi="仿宋" w:eastAsia="仿宋"/>
          <w:sz w:val="32"/>
          <w:szCs w:val="32"/>
          <w:lang w:val="en-US" w:eastAsia="zh-CN"/>
        </w:rPr>
        <w:t>4.96</w:t>
      </w:r>
      <w:r>
        <w:rPr>
          <w:rFonts w:hint="eastAsia" w:ascii="仿宋" w:hAnsi="仿宋" w:eastAsia="仿宋"/>
          <w:sz w:val="32"/>
          <w:szCs w:val="32"/>
        </w:rPr>
        <w:t>%，</w:t>
      </w:r>
      <w:r>
        <w:rPr>
          <w:rFonts w:hint="eastAsia" w:ascii="仿宋" w:hAnsi="仿宋" w:eastAsia="仿宋" w:cs="仿宋"/>
          <w:sz w:val="32"/>
          <w:szCs w:val="32"/>
        </w:rPr>
        <w:t>较上年增加</w:t>
      </w:r>
      <w:r>
        <w:rPr>
          <w:rFonts w:hint="eastAsia" w:ascii="仿宋" w:hAnsi="仿宋" w:eastAsia="仿宋" w:cs="仿宋"/>
          <w:sz w:val="32"/>
          <w:szCs w:val="32"/>
          <w:lang w:val="en-US" w:eastAsia="zh-CN"/>
        </w:rPr>
        <w:t>2.11</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12</w:t>
      </w:r>
      <w:r>
        <w:rPr>
          <w:rFonts w:hint="eastAsia" w:ascii="仿宋" w:hAnsi="仿宋" w:eastAsia="仿宋" w:cs="仿宋"/>
          <w:sz w:val="32"/>
          <w:szCs w:val="32"/>
        </w:rPr>
        <w:t>%，主要原因是人员增加，费用相应增加。</w:t>
      </w:r>
    </w:p>
    <w:p>
      <w:pPr>
        <w:pageBreakBefore w:val="0"/>
        <w:tabs>
          <w:tab w:val="left" w:pos="605"/>
        </w:tabs>
        <w:kinsoku/>
        <w:wordWrap/>
        <w:overflowPunct/>
        <w:topLinePunct w:val="0"/>
        <w:bidi w:val="0"/>
        <w:spacing w:line="600" w:lineRule="exact"/>
        <w:ind w:right="0" w:rightChars="0" w:firstLine="643" w:firstLineChars="200"/>
        <w:textAlignment w:val="auto"/>
        <w:rPr>
          <w:rFonts w:hint="eastAsia" w:ascii="宋体" w:hAnsi="宋体" w:cs="仿宋"/>
          <w:b/>
          <w:bCs/>
          <w:sz w:val="32"/>
          <w:szCs w:val="32"/>
        </w:rPr>
      </w:pPr>
      <w:r>
        <w:rPr>
          <w:rFonts w:hint="eastAsia" w:ascii="宋体" w:hAnsi="宋体" w:cs="仿宋"/>
          <w:b/>
          <w:bCs/>
          <w:sz w:val="32"/>
          <w:szCs w:val="32"/>
        </w:rPr>
        <w:t>（三）一般公共预算基本支出情况说明</w:t>
      </w:r>
    </w:p>
    <w:p>
      <w:pPr>
        <w:pageBreakBefore w:val="0"/>
        <w:kinsoku/>
        <w:wordWrap/>
        <w:overflowPunct/>
        <w:topLinePunct w:val="0"/>
        <w:bidi w:val="0"/>
        <w:spacing w:line="600" w:lineRule="exact"/>
        <w:ind w:right="0" w:rightChars="0"/>
        <w:textAlignment w:val="auto"/>
        <w:rPr>
          <w:rFonts w:ascii="宋体" w:hAnsi="宋体" w:cs="宋体"/>
          <w:b/>
          <w:sz w:val="32"/>
          <w:szCs w:val="32"/>
        </w:rPr>
      </w:pPr>
      <w:r>
        <w:rPr>
          <w:rFonts w:hint="eastAsia" w:ascii="仿宋" w:hAnsi="仿宋" w:eastAsia="仿宋"/>
          <w:sz w:val="32"/>
          <w:szCs w:val="32"/>
        </w:rPr>
        <w:t>　　2018年</w:t>
      </w:r>
      <w:r>
        <w:rPr>
          <w:rFonts w:hint="eastAsia" w:ascii="仿宋" w:hAnsi="仿宋" w:eastAsia="仿宋" w:cs="仿宋"/>
          <w:color w:val="000000"/>
          <w:sz w:val="32"/>
          <w:szCs w:val="32"/>
        </w:rPr>
        <w:t>一般公共预算基本支出</w:t>
      </w:r>
      <w:r>
        <w:rPr>
          <w:rFonts w:hint="eastAsia" w:ascii="仿宋" w:hAnsi="仿宋" w:eastAsia="仿宋" w:cs="仿宋"/>
          <w:color w:val="000000"/>
          <w:sz w:val="32"/>
          <w:szCs w:val="32"/>
          <w:lang w:val="en-US" w:eastAsia="zh-CN"/>
        </w:rPr>
        <w:t>316.15</w:t>
      </w:r>
      <w:r>
        <w:rPr>
          <w:rFonts w:hint="eastAsia" w:ascii="仿宋" w:hAnsi="仿宋" w:eastAsia="仿宋"/>
          <w:sz w:val="32"/>
          <w:szCs w:val="32"/>
        </w:rPr>
        <w:t>万元，比2017年增加</w:t>
      </w:r>
      <w:r>
        <w:rPr>
          <w:rFonts w:hint="eastAsia" w:ascii="仿宋" w:hAnsi="仿宋" w:eastAsia="仿宋"/>
          <w:sz w:val="32"/>
          <w:szCs w:val="32"/>
          <w:lang w:val="en-US" w:eastAsia="zh-CN"/>
        </w:rPr>
        <w:t>51.75</w:t>
      </w:r>
      <w:r>
        <w:rPr>
          <w:rFonts w:hint="eastAsia" w:ascii="仿宋" w:hAnsi="仿宋" w:eastAsia="仿宋"/>
          <w:sz w:val="32"/>
          <w:szCs w:val="32"/>
        </w:rPr>
        <w:t>万元，增长</w:t>
      </w:r>
      <w:r>
        <w:rPr>
          <w:rFonts w:hint="eastAsia" w:ascii="仿宋" w:hAnsi="仿宋" w:eastAsia="仿宋"/>
          <w:sz w:val="32"/>
          <w:szCs w:val="32"/>
          <w:lang w:val="en-US" w:eastAsia="zh-CN"/>
        </w:rPr>
        <w:t>20</w:t>
      </w:r>
      <w:r>
        <w:rPr>
          <w:rFonts w:hint="eastAsia" w:ascii="仿宋" w:hAnsi="仿宋" w:eastAsia="仿宋"/>
          <w:sz w:val="32"/>
          <w:szCs w:val="32"/>
        </w:rPr>
        <w:t xml:space="preserve">%，主要原因：一是人员增加，工资及相应费用增加；二是2018年在职人员医疗保险工作改革，增加了基本医疗保险及生育保险金。具体情况如下： </w:t>
      </w:r>
    </w:p>
    <w:p>
      <w:pPr>
        <w:pageBreakBefore w:val="0"/>
        <w:kinsoku/>
        <w:wordWrap/>
        <w:overflowPunct/>
        <w:topLinePunct w:val="0"/>
        <w:bidi w:val="0"/>
        <w:spacing w:line="600" w:lineRule="exact"/>
        <w:ind w:right="0" w:rightChars="0" w:firstLine="602" w:firstLineChars="200"/>
        <w:textAlignment w:val="auto"/>
        <w:rPr>
          <w:rFonts w:ascii="仿宋" w:hAnsi="仿宋" w:eastAsia="仿宋"/>
          <w:b/>
          <w:bCs/>
          <w:sz w:val="30"/>
          <w:szCs w:val="30"/>
        </w:rPr>
      </w:pPr>
      <w:r>
        <w:rPr>
          <w:rFonts w:hint="eastAsia" w:ascii="仿宋" w:hAnsi="仿宋" w:eastAsia="仿宋"/>
          <w:b/>
          <w:bCs/>
          <w:sz w:val="30"/>
          <w:szCs w:val="30"/>
        </w:rPr>
        <w:t>1.人员经费</w:t>
      </w:r>
    </w:p>
    <w:p>
      <w:pPr>
        <w:pageBreakBefore w:val="0"/>
        <w:kinsoku/>
        <w:wordWrap/>
        <w:overflowPunct/>
        <w:topLinePunct w:val="0"/>
        <w:bidi w:val="0"/>
        <w:spacing w:line="600" w:lineRule="exact"/>
        <w:ind w:right="0" w:rightChars="0"/>
        <w:textAlignment w:val="auto"/>
        <w:rPr>
          <w:rFonts w:ascii="仿宋" w:hAnsi="仿宋" w:eastAsia="仿宋"/>
          <w:color w:val="000000"/>
          <w:sz w:val="32"/>
          <w:szCs w:val="32"/>
        </w:rPr>
      </w:pPr>
      <w:r>
        <w:rPr>
          <w:rFonts w:hint="eastAsia" w:ascii="仿宋" w:hAnsi="仿宋" w:eastAsia="仿宋"/>
          <w:sz w:val="30"/>
          <w:szCs w:val="30"/>
        </w:rPr>
        <w:t>　　</w:t>
      </w:r>
      <w:r>
        <w:rPr>
          <w:rFonts w:hint="eastAsia" w:ascii="仿宋" w:hAnsi="仿宋" w:eastAsia="仿宋"/>
          <w:color w:val="000000"/>
          <w:sz w:val="30"/>
          <w:szCs w:val="30"/>
        </w:rPr>
        <w:t>人员经费为</w:t>
      </w:r>
      <w:r>
        <w:rPr>
          <w:rFonts w:hint="eastAsia" w:ascii="仿宋" w:hAnsi="仿宋" w:eastAsia="仿宋"/>
          <w:color w:val="000000"/>
          <w:sz w:val="30"/>
          <w:szCs w:val="30"/>
          <w:lang w:val="en-US" w:eastAsia="zh-CN"/>
        </w:rPr>
        <w:t>264.51</w:t>
      </w:r>
      <w:r>
        <w:rPr>
          <w:rFonts w:hint="eastAsia" w:ascii="仿宋" w:hAnsi="仿宋" w:eastAsia="仿宋"/>
          <w:color w:val="000000"/>
          <w:sz w:val="30"/>
          <w:szCs w:val="30"/>
        </w:rPr>
        <w:t>万元，主</w:t>
      </w:r>
      <w:r>
        <w:rPr>
          <w:rFonts w:hint="eastAsia" w:ascii="仿宋" w:hAnsi="仿宋" w:eastAsia="仿宋"/>
          <w:color w:val="000000"/>
          <w:sz w:val="32"/>
          <w:szCs w:val="32"/>
        </w:rPr>
        <w:t xml:space="preserve">要包括基本工资、津贴补贴、绩效工资、职工基本医疗保险缴费、公务员医疗补助缴费、其他社会保障缴费、住房公积金、其他工资福利支出、离休费、退休费、退职（役）费、生活补助。 </w:t>
      </w:r>
    </w:p>
    <w:p>
      <w:pPr>
        <w:pageBreakBefore w:val="0"/>
        <w:kinsoku/>
        <w:wordWrap/>
        <w:overflowPunct/>
        <w:topLinePunct w:val="0"/>
        <w:bidi w:val="0"/>
        <w:spacing w:line="600" w:lineRule="exact"/>
        <w:ind w:right="0" w:rightChars="0"/>
        <w:textAlignment w:val="auto"/>
        <w:rPr>
          <w:rFonts w:ascii="仿宋" w:hAnsi="仿宋" w:eastAsia="仿宋"/>
          <w:b/>
          <w:bCs/>
          <w:color w:val="000000"/>
          <w:sz w:val="30"/>
          <w:szCs w:val="30"/>
        </w:rPr>
      </w:pPr>
      <w:r>
        <w:rPr>
          <w:rFonts w:hint="eastAsia" w:ascii="仿宋" w:hAnsi="仿宋" w:eastAsia="仿宋"/>
          <w:b/>
          <w:bCs/>
          <w:color w:val="000000"/>
          <w:sz w:val="30"/>
          <w:szCs w:val="30"/>
        </w:rPr>
        <w:t xml:space="preserve">　　2.公用经费 </w:t>
      </w:r>
    </w:p>
    <w:p>
      <w:pPr>
        <w:pageBreakBefore w:val="0"/>
        <w:kinsoku/>
        <w:wordWrap/>
        <w:overflowPunct/>
        <w:topLinePunct w:val="0"/>
        <w:bidi w:val="0"/>
        <w:spacing w:line="600" w:lineRule="exact"/>
        <w:ind w:right="0" w:rightChars="0" w:firstLine="640" w:firstLineChars="200"/>
        <w:textAlignment w:val="auto"/>
        <w:rPr>
          <w:rStyle w:val="7"/>
          <w:rFonts w:ascii="仿宋" w:hAnsi="仿宋" w:eastAsia="仿宋" w:cs="仿宋"/>
          <w:color w:val="FF0000"/>
          <w:sz w:val="32"/>
          <w:szCs w:val="32"/>
        </w:rPr>
      </w:pPr>
      <w:r>
        <w:rPr>
          <w:rFonts w:hint="eastAsia" w:ascii="仿宋" w:hAnsi="仿宋" w:eastAsia="仿宋"/>
          <w:color w:val="000000"/>
          <w:sz w:val="32"/>
          <w:szCs w:val="32"/>
        </w:rPr>
        <w:t>公用经费为</w:t>
      </w:r>
      <w:r>
        <w:rPr>
          <w:rFonts w:hint="eastAsia" w:ascii="仿宋" w:hAnsi="仿宋" w:eastAsia="仿宋"/>
          <w:color w:val="000000"/>
          <w:sz w:val="32"/>
          <w:szCs w:val="32"/>
          <w:lang w:val="en-US" w:eastAsia="zh-CN"/>
        </w:rPr>
        <w:t>51.64</w:t>
      </w:r>
      <w:r>
        <w:rPr>
          <w:rFonts w:hint="eastAsia" w:ascii="仿宋" w:hAnsi="仿宋" w:eastAsia="仿宋"/>
          <w:color w:val="000000"/>
          <w:sz w:val="32"/>
          <w:szCs w:val="32"/>
        </w:rPr>
        <w:t>万元，主要包括办公费、邮电费、差旅费、培训费、公务接待费、工会经费、福利费、公务用车运行维护费、其他交通费用、其他商品和服务支出。</w:t>
      </w:r>
    </w:p>
    <w:p>
      <w:pPr>
        <w:pageBreakBefore w:val="0"/>
        <w:widowControl/>
        <w:kinsoku/>
        <w:wordWrap/>
        <w:overflowPunct/>
        <w:topLinePunct w:val="0"/>
        <w:bidi w:val="0"/>
        <w:snapToGrid w:val="0"/>
        <w:spacing w:line="600" w:lineRule="exact"/>
        <w:ind w:right="0" w:rightChars="0"/>
        <w:jc w:val="left"/>
        <w:textAlignment w:val="auto"/>
        <w:rPr>
          <w:rFonts w:ascii="宋体" w:hAnsi="宋体" w:cs="宋体"/>
          <w:b/>
          <w:bCs/>
          <w:kern w:val="0"/>
          <w:sz w:val="32"/>
          <w:szCs w:val="32"/>
        </w:rPr>
      </w:pPr>
      <w:r>
        <w:rPr>
          <w:rFonts w:hint="eastAsia" w:ascii="黑体" w:hAnsi="黑体" w:eastAsia="黑体"/>
          <w:kern w:val="0"/>
          <w:sz w:val="32"/>
          <w:szCs w:val="32"/>
        </w:rPr>
        <w:t>　　</w:t>
      </w:r>
      <w:r>
        <w:rPr>
          <w:rFonts w:hint="eastAsia" w:ascii="宋体" w:hAnsi="宋体" w:cs="宋体"/>
          <w:b/>
          <w:bCs/>
          <w:kern w:val="0"/>
          <w:sz w:val="32"/>
          <w:szCs w:val="32"/>
        </w:rPr>
        <w:t xml:space="preserve">（四）“三公”经费预算情况说明 </w:t>
      </w:r>
    </w:p>
    <w:p>
      <w:pPr>
        <w:pageBreakBefore w:val="0"/>
        <w:kinsoku/>
        <w:wordWrap/>
        <w:overflowPunct/>
        <w:topLinePunct w:val="0"/>
        <w:bidi w:val="0"/>
        <w:spacing w:line="60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2018年“三公”经费预算支出</w:t>
      </w:r>
      <w:r>
        <w:rPr>
          <w:rFonts w:hint="eastAsia" w:ascii="仿宋" w:hAnsi="仿宋" w:eastAsia="仿宋" w:cs="仿宋"/>
          <w:sz w:val="32"/>
          <w:szCs w:val="32"/>
          <w:lang w:val="en-US" w:eastAsia="zh-CN"/>
        </w:rPr>
        <w:t>2.10</w:t>
      </w:r>
      <w:r>
        <w:rPr>
          <w:rFonts w:hint="eastAsia" w:ascii="仿宋" w:hAnsi="仿宋" w:eastAsia="仿宋" w:cs="仿宋"/>
          <w:sz w:val="32"/>
          <w:szCs w:val="32"/>
        </w:rPr>
        <w:t>万元，</w:t>
      </w:r>
      <w:r>
        <w:rPr>
          <w:rFonts w:hint="eastAsia" w:ascii="仿宋" w:hAnsi="仿宋" w:eastAsia="仿宋" w:cs="仿宋"/>
          <w:kern w:val="0"/>
          <w:sz w:val="32"/>
          <w:szCs w:val="32"/>
        </w:rPr>
        <w:t>与2017年相比</w:t>
      </w:r>
      <w:r>
        <w:rPr>
          <w:rFonts w:hint="eastAsia" w:ascii="仿宋" w:hAnsi="仿宋" w:eastAsia="仿宋" w:cs="仿宋"/>
          <w:kern w:val="0"/>
          <w:sz w:val="32"/>
          <w:szCs w:val="32"/>
          <w:lang w:eastAsia="zh-CN"/>
        </w:rPr>
        <w:t>减少</w:t>
      </w:r>
      <w:r>
        <w:rPr>
          <w:rFonts w:hint="eastAsia" w:ascii="仿宋" w:hAnsi="仿宋" w:eastAsia="仿宋" w:cs="仿宋"/>
          <w:kern w:val="0"/>
          <w:sz w:val="32"/>
          <w:szCs w:val="32"/>
          <w:lang w:val="en-US" w:eastAsia="zh-CN"/>
        </w:rPr>
        <w:t>0.24</w:t>
      </w:r>
      <w:r>
        <w:rPr>
          <w:rFonts w:hint="eastAsia" w:ascii="仿宋" w:hAnsi="仿宋" w:eastAsia="仿宋" w:cs="仿宋"/>
          <w:kern w:val="0"/>
          <w:sz w:val="32"/>
          <w:szCs w:val="32"/>
        </w:rPr>
        <w:t>万元，其中：</w:t>
      </w:r>
      <w:r>
        <w:rPr>
          <w:rFonts w:hint="eastAsia" w:ascii="仿宋" w:hAnsi="仿宋" w:eastAsia="仿宋" w:cs="仿宋"/>
          <w:sz w:val="32"/>
          <w:szCs w:val="32"/>
        </w:rPr>
        <w:t xml:space="preserve"> </w:t>
      </w:r>
    </w:p>
    <w:p>
      <w:pPr>
        <w:pageBreakBefore w:val="0"/>
        <w:numPr>
          <w:ilvl w:val="0"/>
          <w:numId w:val="0"/>
        </w:numPr>
        <w:kinsoku/>
        <w:wordWrap/>
        <w:overflowPunct/>
        <w:topLinePunct w:val="0"/>
        <w:bidi w:val="0"/>
        <w:spacing w:line="60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公务用车购置及运行维护费</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sz w:val="32"/>
          <w:szCs w:val="32"/>
        </w:rPr>
        <w:t>与上年基本持平</w:t>
      </w:r>
      <w:r>
        <w:rPr>
          <w:rFonts w:hint="eastAsia" w:ascii="仿宋" w:hAnsi="仿宋" w:eastAsia="仿宋" w:cs="仿宋"/>
          <w:sz w:val="32"/>
          <w:szCs w:val="32"/>
          <w:lang w:eastAsia="zh-CN"/>
        </w:rPr>
        <w:t>。</w:t>
      </w:r>
    </w:p>
    <w:p>
      <w:pPr>
        <w:pageBreakBefore w:val="0"/>
        <w:numPr>
          <w:ilvl w:val="0"/>
          <w:numId w:val="0"/>
        </w:numPr>
        <w:kinsoku/>
        <w:wordWrap/>
        <w:overflowPunct/>
        <w:topLinePunct w:val="0"/>
        <w:bidi w:val="0"/>
        <w:spacing w:line="60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2.公务接待费 </w:t>
      </w:r>
      <w:r>
        <w:rPr>
          <w:rFonts w:hint="eastAsia" w:ascii="仿宋" w:hAnsi="仿宋" w:eastAsia="仿宋" w:cs="仿宋"/>
          <w:sz w:val="32"/>
          <w:szCs w:val="32"/>
          <w:lang w:val="en-US" w:eastAsia="zh-CN"/>
        </w:rPr>
        <w:t>0.10</w:t>
      </w:r>
      <w:r>
        <w:rPr>
          <w:rFonts w:hint="eastAsia" w:ascii="仿宋" w:hAnsi="仿宋" w:eastAsia="仿宋" w:cs="仿宋"/>
          <w:sz w:val="32"/>
          <w:szCs w:val="32"/>
        </w:rPr>
        <w:t>万元，与上年基本持平；</w:t>
      </w:r>
    </w:p>
    <w:p>
      <w:pPr>
        <w:pageBreakBefore w:val="0"/>
        <w:kinsoku/>
        <w:wordWrap/>
        <w:overflowPunct/>
        <w:topLinePunct w:val="0"/>
        <w:bidi w:val="0"/>
        <w:spacing w:line="60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3.因公出国（境）费预算支出0万元，与上年持平。</w:t>
      </w:r>
    </w:p>
    <w:p>
      <w:pPr>
        <w:pageBreakBefore w:val="0"/>
        <w:kinsoku/>
        <w:wordWrap/>
        <w:overflowPunct/>
        <w:topLinePunct w:val="0"/>
        <w:bidi w:val="0"/>
        <w:spacing w:line="600" w:lineRule="exact"/>
        <w:ind w:right="0" w:rightChars="0" w:firstLine="643" w:firstLineChars="200"/>
        <w:textAlignment w:val="auto"/>
        <w:rPr>
          <w:rStyle w:val="7"/>
          <w:rFonts w:ascii="宋体" w:hAnsi="宋体" w:cs="宋体"/>
          <w:color w:val="000000"/>
          <w:sz w:val="32"/>
          <w:szCs w:val="32"/>
        </w:rPr>
      </w:pPr>
      <w:r>
        <w:rPr>
          <w:rStyle w:val="7"/>
          <w:rFonts w:hint="eastAsia" w:ascii="宋体" w:hAnsi="宋体" w:cs="宋体"/>
          <w:color w:val="000000"/>
          <w:sz w:val="32"/>
          <w:szCs w:val="32"/>
        </w:rPr>
        <w:t>（五）政府性基金预算支出情况说明</w:t>
      </w:r>
    </w:p>
    <w:p>
      <w:pPr>
        <w:pageBreakBefore w:val="0"/>
        <w:kinsoku/>
        <w:wordWrap/>
        <w:overflowPunct/>
        <w:topLinePunct w:val="0"/>
        <w:bidi w:val="0"/>
        <w:spacing w:line="600" w:lineRule="exact"/>
        <w:ind w:right="0" w:rightChars="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2018年无政府性基金预算财政拨款安排的支出。</w:t>
      </w:r>
    </w:p>
    <w:p>
      <w:pPr>
        <w:pageBreakBefore w:val="0"/>
        <w:kinsoku/>
        <w:wordWrap/>
        <w:overflowPunct/>
        <w:topLinePunct w:val="0"/>
        <w:bidi w:val="0"/>
        <w:spacing w:line="600" w:lineRule="exact"/>
        <w:ind w:right="0" w:rightChars="0" w:firstLine="643" w:firstLineChars="200"/>
        <w:textAlignment w:val="auto"/>
        <w:rPr>
          <w:rFonts w:ascii="宋体" w:hAnsi="宋体" w:cs="宋体"/>
          <w:b/>
          <w:bCs/>
          <w:sz w:val="32"/>
          <w:szCs w:val="32"/>
        </w:rPr>
      </w:pPr>
      <w:r>
        <w:rPr>
          <w:rFonts w:hint="eastAsia" w:ascii="宋体" w:hAnsi="宋体" w:cs="宋体"/>
          <w:b/>
          <w:bCs/>
          <w:color w:val="000000"/>
          <w:sz w:val="32"/>
          <w:szCs w:val="32"/>
        </w:rPr>
        <w:t>（六）</w:t>
      </w:r>
      <w:r>
        <w:rPr>
          <w:rFonts w:hint="eastAsia" w:ascii="宋体" w:hAnsi="宋体" w:cs="宋体"/>
          <w:b/>
          <w:bCs/>
          <w:sz w:val="32"/>
          <w:szCs w:val="32"/>
        </w:rPr>
        <w:t>其他有关情况说明</w:t>
      </w:r>
    </w:p>
    <w:p>
      <w:pPr>
        <w:pageBreakBefore w:val="0"/>
        <w:kinsoku/>
        <w:wordWrap/>
        <w:overflowPunct/>
        <w:topLinePunct w:val="0"/>
        <w:bidi w:val="0"/>
        <w:spacing w:line="600" w:lineRule="exact"/>
        <w:ind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1.机关运行经费　</w:t>
      </w:r>
    </w:p>
    <w:p>
      <w:pPr>
        <w:pageBreakBefore w:val="0"/>
        <w:numPr>
          <w:ilvl w:val="0"/>
          <w:numId w:val="0"/>
        </w:numPr>
        <w:kinsoku/>
        <w:wordWrap/>
        <w:overflowPunct/>
        <w:topLinePunct w:val="0"/>
        <w:bidi w:val="0"/>
        <w:spacing w:line="600" w:lineRule="exact"/>
        <w:ind w:right="0" w:rightChars="0"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ascii="仿宋" w:hAnsi="仿宋" w:eastAsia="仿宋" w:cs="仿宋"/>
          <w:color w:val="000000"/>
          <w:sz w:val="32"/>
          <w:szCs w:val="32"/>
        </w:rPr>
        <w:t>201</w:t>
      </w:r>
      <w:r>
        <w:rPr>
          <w:rFonts w:hint="eastAsia" w:ascii="仿宋" w:hAnsi="仿宋" w:eastAsia="仿宋" w:cs="仿宋"/>
          <w:color w:val="000000"/>
          <w:sz w:val="32"/>
          <w:szCs w:val="32"/>
        </w:rPr>
        <w:t>8年基本预算支出</w:t>
      </w:r>
      <w:r>
        <w:rPr>
          <w:rFonts w:hint="eastAsia" w:ascii="仿宋" w:hAnsi="仿宋" w:eastAsia="仿宋" w:cs="仿宋"/>
          <w:color w:val="000000"/>
          <w:kern w:val="0"/>
          <w:sz w:val="32"/>
          <w:szCs w:val="32"/>
          <w:lang w:val="en-US" w:eastAsia="zh-CN"/>
        </w:rPr>
        <w:t>51.64</w:t>
      </w:r>
      <w:r>
        <w:rPr>
          <w:rFonts w:hint="eastAsia" w:ascii="仿宋" w:hAnsi="仿宋" w:eastAsia="仿宋" w:cs="仿宋"/>
          <w:color w:val="000000"/>
          <w:kern w:val="0"/>
          <w:sz w:val="32"/>
          <w:szCs w:val="32"/>
        </w:rPr>
        <w:t>万元</w:t>
      </w:r>
      <w:r>
        <w:rPr>
          <w:rFonts w:hint="eastAsia" w:ascii="仿宋" w:hAnsi="仿宋" w:eastAsia="仿宋" w:cs="仿宋"/>
          <w:color w:val="000000"/>
          <w:sz w:val="32"/>
          <w:szCs w:val="32"/>
        </w:rPr>
        <w:t>，比</w:t>
      </w:r>
      <w:r>
        <w:rPr>
          <w:rFonts w:ascii="仿宋" w:hAnsi="仿宋" w:eastAsia="仿宋" w:cs="仿宋"/>
          <w:color w:val="000000"/>
          <w:sz w:val="32"/>
          <w:szCs w:val="32"/>
        </w:rPr>
        <w:t xml:space="preserve"> 201</w:t>
      </w:r>
      <w:r>
        <w:rPr>
          <w:rFonts w:hint="eastAsia" w:ascii="仿宋" w:hAnsi="仿宋" w:eastAsia="仿宋" w:cs="仿宋"/>
          <w:color w:val="000000"/>
          <w:sz w:val="32"/>
          <w:szCs w:val="32"/>
        </w:rPr>
        <w:t>7年增加</w:t>
      </w:r>
      <w:r>
        <w:rPr>
          <w:rFonts w:hint="eastAsia" w:ascii="仿宋" w:hAnsi="仿宋" w:eastAsia="仿宋" w:cs="仿宋"/>
          <w:color w:val="000000"/>
          <w:sz w:val="32"/>
          <w:szCs w:val="32"/>
          <w:lang w:val="en-US" w:eastAsia="zh-CN"/>
        </w:rPr>
        <w:t>3.08</w:t>
      </w:r>
      <w:r>
        <w:rPr>
          <w:rFonts w:hint="eastAsia" w:ascii="仿宋" w:hAnsi="仿宋" w:eastAsia="仿宋" w:cs="仿宋"/>
          <w:color w:val="000000"/>
          <w:sz w:val="32"/>
          <w:szCs w:val="32"/>
        </w:rPr>
        <w:t>万元，增长</w:t>
      </w:r>
      <w:r>
        <w:rPr>
          <w:rFonts w:hint="eastAsia" w:ascii="仿宋" w:hAnsi="仿宋" w:eastAsia="仿宋" w:cs="仿宋"/>
          <w:color w:val="000000"/>
          <w:sz w:val="32"/>
          <w:szCs w:val="32"/>
          <w:lang w:val="en-US" w:eastAsia="zh-CN"/>
        </w:rPr>
        <w:t>7</w:t>
      </w:r>
      <w:r>
        <w:rPr>
          <w:rFonts w:ascii="仿宋" w:hAnsi="仿宋" w:eastAsia="仿宋" w:cs="仿宋"/>
          <w:color w:val="000000"/>
          <w:sz w:val="32"/>
          <w:szCs w:val="32"/>
        </w:rPr>
        <w:t>%</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主要原因是人员增加，费用相应增加</w:t>
      </w:r>
      <w:r>
        <w:rPr>
          <w:rFonts w:hint="eastAsia" w:ascii="仿宋" w:hAnsi="仿宋" w:eastAsia="仿宋" w:cs="仿宋"/>
          <w:color w:val="000000"/>
          <w:sz w:val="32"/>
          <w:szCs w:val="32"/>
          <w:lang w:eastAsia="zh-CN"/>
        </w:rPr>
        <w:t>。</w:t>
      </w:r>
    </w:p>
    <w:p>
      <w:pPr>
        <w:pStyle w:val="11"/>
        <w:keepNext w:val="0"/>
        <w:keepLines w:val="0"/>
        <w:pageBreakBefore w:val="0"/>
        <w:numPr>
          <w:ilvl w:val="0"/>
          <w:numId w:val="0"/>
        </w:numPr>
        <w:kinsoku/>
        <w:wordWrap/>
        <w:overflowPunct/>
        <w:topLinePunct w:val="0"/>
        <w:autoSpaceDE/>
        <w:autoSpaceDN/>
        <w:bidi w:val="0"/>
        <w:adjustRightInd/>
        <w:spacing w:line="600" w:lineRule="exact"/>
        <w:ind w:right="0" w:rightChars="0" w:firstLine="320" w:firstLineChars="100"/>
        <w:jc w:val="left"/>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ascii="仿宋" w:hAnsi="仿宋" w:eastAsia="仿宋" w:cs="仿宋"/>
          <w:color w:val="000000"/>
          <w:sz w:val="32"/>
          <w:szCs w:val="32"/>
        </w:rPr>
        <w:t>201</w:t>
      </w:r>
      <w:r>
        <w:rPr>
          <w:rFonts w:hint="eastAsia" w:ascii="仿宋" w:hAnsi="仿宋" w:eastAsia="仿宋" w:cs="仿宋"/>
          <w:color w:val="000000"/>
          <w:sz w:val="32"/>
          <w:szCs w:val="32"/>
        </w:rPr>
        <w:t>8年专项预算经费</w:t>
      </w:r>
      <w:r>
        <w:rPr>
          <w:rFonts w:hint="eastAsia" w:ascii="仿宋" w:hAnsi="仿宋" w:eastAsia="仿宋" w:cs="仿宋"/>
          <w:color w:val="000000"/>
          <w:sz w:val="32"/>
          <w:szCs w:val="32"/>
          <w:lang w:val="en-US" w:eastAsia="zh-CN"/>
        </w:rPr>
        <w:t>86</w:t>
      </w:r>
      <w:r>
        <w:rPr>
          <w:rFonts w:hint="eastAsia" w:ascii="仿宋" w:hAnsi="仿宋" w:eastAsia="仿宋" w:cs="仿宋"/>
          <w:color w:val="000000"/>
          <w:sz w:val="32"/>
          <w:szCs w:val="32"/>
        </w:rPr>
        <w:t>万元，较上年减少</w:t>
      </w:r>
      <w:r>
        <w:rPr>
          <w:rFonts w:hint="eastAsia" w:ascii="仿宋" w:hAnsi="仿宋" w:eastAsia="仿宋" w:cs="仿宋"/>
          <w:color w:val="000000"/>
          <w:sz w:val="32"/>
          <w:szCs w:val="32"/>
          <w:lang w:val="en-US" w:eastAsia="zh-CN"/>
        </w:rPr>
        <w:t>26.26</w:t>
      </w:r>
      <w:r>
        <w:rPr>
          <w:rFonts w:hint="eastAsia" w:ascii="仿宋" w:hAnsi="仿宋" w:eastAsia="仿宋" w:cs="仿宋"/>
          <w:color w:val="000000"/>
          <w:sz w:val="32"/>
          <w:szCs w:val="32"/>
        </w:rPr>
        <w:t>万元，下降</w:t>
      </w:r>
      <w:r>
        <w:rPr>
          <w:rFonts w:hint="eastAsia" w:ascii="仿宋" w:hAnsi="仿宋" w:eastAsia="仿宋" w:cs="仿宋"/>
          <w:color w:val="000000"/>
          <w:sz w:val="32"/>
          <w:szCs w:val="32"/>
          <w:lang w:val="en-US" w:eastAsia="zh-CN"/>
        </w:rPr>
        <w:t>31</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主要原因</w:t>
      </w:r>
      <w:r>
        <w:rPr>
          <w:rFonts w:hint="eastAsia" w:ascii="仿宋_GB2312" w:eastAsia="仿宋_GB2312"/>
          <w:sz w:val="32"/>
          <w:szCs w:val="32"/>
        </w:rPr>
        <w:t>:减少了印刷费及培训费的开支。</w:t>
      </w:r>
    </w:p>
    <w:p>
      <w:pPr>
        <w:pStyle w:val="10"/>
        <w:pageBreakBefore w:val="0"/>
        <w:kinsoku/>
        <w:wordWrap/>
        <w:overflowPunct/>
        <w:topLinePunct w:val="0"/>
        <w:bidi w:val="0"/>
        <w:spacing w:line="600" w:lineRule="exact"/>
        <w:ind w:right="0" w:rightChars="0" w:firstLine="643" w:firstLineChars="200"/>
        <w:jc w:val="left"/>
        <w:textAlignment w:val="auto"/>
        <w:rPr>
          <w:rFonts w:ascii="仿宋" w:hAnsi="仿宋" w:eastAsia="仿宋" w:cs="仿宋"/>
          <w:b/>
          <w:bCs/>
          <w:sz w:val="32"/>
          <w:szCs w:val="32"/>
        </w:rPr>
      </w:pPr>
      <w:r>
        <w:rPr>
          <w:rFonts w:hint="eastAsia" w:ascii="仿宋" w:hAnsi="仿宋" w:eastAsia="仿宋" w:cs="仿宋"/>
          <w:b/>
          <w:bCs/>
          <w:sz w:val="32"/>
          <w:szCs w:val="32"/>
        </w:rPr>
        <w:t>2.政府采购情况</w:t>
      </w:r>
    </w:p>
    <w:p>
      <w:pPr>
        <w:pStyle w:val="10"/>
        <w:pageBreakBefore w:val="0"/>
        <w:numPr>
          <w:ilvl w:val="0"/>
          <w:numId w:val="4"/>
        </w:numPr>
        <w:kinsoku/>
        <w:wordWrap/>
        <w:overflowPunct/>
        <w:topLinePunct w:val="0"/>
        <w:bidi w:val="0"/>
        <w:adjustRightInd w:val="0"/>
        <w:snapToGrid w:val="0"/>
        <w:spacing w:line="600" w:lineRule="exact"/>
        <w:ind w:right="0" w:rightChars="0" w:firstLine="640" w:firstLineChars="200"/>
        <w:jc w:val="left"/>
        <w:textAlignment w:val="auto"/>
        <w:rPr>
          <w:rFonts w:hint="eastAsia" w:ascii="仿宋_GB2312" w:hAnsi="黑体" w:eastAsia="仿宋_GB2312"/>
          <w:color w:val="000000"/>
          <w:sz w:val="32"/>
          <w:szCs w:val="32"/>
          <w:lang w:eastAsia="zh-CN"/>
        </w:rPr>
      </w:pPr>
      <w:r>
        <w:rPr>
          <w:rFonts w:hint="eastAsia" w:ascii="仿宋" w:hAnsi="仿宋" w:eastAsia="仿宋" w:cs="仿宋"/>
          <w:color w:val="000000"/>
          <w:sz w:val="32"/>
          <w:szCs w:val="32"/>
        </w:rPr>
        <w:t>根据《兰州市2017-2018年政府集中采购目录和采购限额标准》、《兰州市市级机关事业单位通用设备家具配置标准的通知》，</w:t>
      </w:r>
      <w:r>
        <w:rPr>
          <w:rFonts w:hint="eastAsia" w:ascii="仿宋_GB2312" w:hAnsi="黑体" w:eastAsia="仿宋_GB2312"/>
          <w:color w:val="000000"/>
          <w:sz w:val="32"/>
          <w:szCs w:val="32"/>
        </w:rPr>
        <w:t>2018年政府采购预算资金为</w:t>
      </w:r>
      <w:r>
        <w:rPr>
          <w:rFonts w:hint="eastAsia" w:ascii="仿宋_GB2312" w:hAnsi="黑体" w:eastAsia="仿宋_GB2312"/>
          <w:color w:val="000000"/>
          <w:sz w:val="32"/>
          <w:szCs w:val="32"/>
          <w:lang w:val="en-US" w:eastAsia="zh-CN"/>
        </w:rPr>
        <w:t>34</w:t>
      </w:r>
      <w:r>
        <w:rPr>
          <w:rFonts w:hint="eastAsia" w:ascii="仿宋_GB2312" w:hAnsi="黑体" w:eastAsia="仿宋_GB2312"/>
          <w:color w:val="000000"/>
          <w:sz w:val="32"/>
          <w:szCs w:val="32"/>
        </w:rPr>
        <w:t>万元，其中服务类</w:t>
      </w:r>
      <w:r>
        <w:rPr>
          <w:rFonts w:hint="eastAsia" w:ascii="仿宋_GB2312" w:hAnsi="黑体" w:eastAsia="仿宋_GB2312"/>
          <w:color w:val="000000"/>
          <w:sz w:val="32"/>
          <w:szCs w:val="32"/>
          <w:lang w:val="en-US" w:eastAsia="zh-CN"/>
        </w:rPr>
        <w:t>10</w:t>
      </w:r>
      <w:r>
        <w:rPr>
          <w:rFonts w:hint="eastAsia" w:ascii="仿宋_GB2312" w:hAnsi="黑体" w:eastAsia="仿宋_GB2312"/>
          <w:color w:val="000000"/>
          <w:sz w:val="32"/>
          <w:szCs w:val="32"/>
        </w:rPr>
        <w:t>万元，货物类</w:t>
      </w:r>
      <w:r>
        <w:rPr>
          <w:rFonts w:hint="eastAsia" w:ascii="仿宋_GB2312" w:hAnsi="黑体" w:eastAsia="仿宋_GB2312"/>
          <w:color w:val="000000"/>
          <w:sz w:val="32"/>
          <w:szCs w:val="32"/>
          <w:lang w:val="en-US" w:eastAsia="zh-CN"/>
        </w:rPr>
        <w:t>24</w:t>
      </w:r>
      <w:r>
        <w:rPr>
          <w:rFonts w:hint="eastAsia" w:ascii="仿宋_GB2312" w:hAnsi="黑体" w:eastAsia="仿宋_GB2312"/>
          <w:color w:val="000000"/>
          <w:sz w:val="32"/>
          <w:szCs w:val="32"/>
        </w:rPr>
        <w:t>万元，工程类</w:t>
      </w:r>
      <w:r>
        <w:rPr>
          <w:rFonts w:hint="eastAsia" w:ascii="仿宋_GB2312" w:hAnsi="黑体" w:eastAsia="仿宋_GB2312"/>
          <w:color w:val="000000"/>
          <w:sz w:val="32"/>
          <w:szCs w:val="32"/>
          <w:lang w:val="en-US" w:eastAsia="zh-CN"/>
        </w:rPr>
        <w:t>0</w:t>
      </w:r>
      <w:r>
        <w:rPr>
          <w:rFonts w:hint="eastAsia" w:ascii="仿宋_GB2312" w:hAnsi="黑体" w:eastAsia="仿宋_GB2312"/>
          <w:color w:val="000000"/>
          <w:sz w:val="32"/>
          <w:szCs w:val="32"/>
        </w:rPr>
        <w:t>万元</w:t>
      </w:r>
      <w:r>
        <w:rPr>
          <w:rFonts w:hint="eastAsia" w:ascii="仿宋_GB2312" w:hAnsi="黑体" w:eastAsia="仿宋_GB2312"/>
          <w:color w:val="000000"/>
          <w:sz w:val="32"/>
          <w:szCs w:val="32"/>
          <w:lang w:eastAsia="zh-CN"/>
        </w:rPr>
        <w:t>。</w:t>
      </w:r>
    </w:p>
    <w:p>
      <w:pPr>
        <w:pStyle w:val="10"/>
        <w:pageBreakBefore w:val="0"/>
        <w:kinsoku/>
        <w:wordWrap/>
        <w:overflowPunct/>
        <w:topLinePunct w:val="0"/>
        <w:bidi w:val="0"/>
        <w:adjustRightInd w:val="0"/>
        <w:snapToGrid w:val="0"/>
        <w:spacing w:line="600" w:lineRule="exact"/>
        <w:ind w:right="0" w:righ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四、部门预算绩效评价情况</w:t>
      </w:r>
    </w:p>
    <w:p>
      <w:pPr>
        <w:pStyle w:val="10"/>
        <w:pageBreakBefore w:val="0"/>
        <w:kinsoku/>
        <w:wordWrap/>
        <w:overflowPunct/>
        <w:topLinePunct w:val="0"/>
        <w:bidi w:val="0"/>
        <w:adjustRightInd w:val="0"/>
        <w:snapToGrid w:val="0"/>
        <w:spacing w:line="600" w:lineRule="exact"/>
        <w:ind w:right="0" w:rightChars="0"/>
        <w:jc w:val="left"/>
        <w:textAlignment w:val="auto"/>
        <w:rPr>
          <w:rFonts w:ascii="仿宋" w:hAnsi="仿宋" w:eastAsia="仿宋" w:cs="仿宋"/>
          <w:color w:val="000000"/>
          <w:sz w:val="32"/>
          <w:szCs w:val="32"/>
        </w:rPr>
      </w:pPr>
      <w:r>
        <w:rPr>
          <w:rFonts w:hint="eastAsia" w:ascii="黑体" w:hAnsi="黑体" w:eastAsia="黑体"/>
          <w:sz w:val="32"/>
          <w:szCs w:val="32"/>
        </w:rPr>
        <w:t xml:space="preserve">    </w:t>
      </w:r>
      <w:r>
        <w:rPr>
          <w:rFonts w:hint="eastAsia" w:ascii="仿宋" w:hAnsi="仿宋" w:eastAsia="仿宋" w:cs="仿宋"/>
          <w:sz w:val="32"/>
          <w:szCs w:val="32"/>
        </w:rPr>
        <w:t>2018年</w:t>
      </w:r>
      <w:r>
        <w:rPr>
          <w:rFonts w:hint="eastAsia" w:ascii="仿宋" w:hAnsi="仿宋" w:eastAsia="仿宋" w:cs="仿宋"/>
          <w:color w:val="000000"/>
          <w:sz w:val="32"/>
          <w:szCs w:val="32"/>
        </w:rPr>
        <w:t>我单位将认真贯彻中央和省、市有关文件精神，积极推进预算绩效管理工作，</w:t>
      </w:r>
      <w:r>
        <w:rPr>
          <w:rFonts w:hint="eastAsia" w:ascii="仿宋" w:hAnsi="仿宋" w:eastAsia="仿宋" w:cs="仿宋"/>
          <w:sz w:val="32"/>
          <w:szCs w:val="32"/>
        </w:rPr>
        <w:t>严格遵守财经纪律，进一步健全</w:t>
      </w:r>
      <w:r>
        <w:rPr>
          <w:rFonts w:hint="eastAsia" w:ascii="仿宋" w:hAnsi="仿宋" w:eastAsia="仿宋" w:cs="仿宋"/>
          <w:color w:val="000000"/>
          <w:sz w:val="32"/>
          <w:szCs w:val="32"/>
        </w:rPr>
        <w:t>财务管理制度，做到执行制度严格合规，会计核算符合相关规定，资金专款专用，资金支付依据和开支标准合法合规，提高财政资金使用效益和科学精细化管理水平，保证预算绩效工作成效良好，切实做好服务保障工作。</w:t>
      </w:r>
    </w:p>
    <w:p>
      <w:pPr>
        <w:pageBreakBefore w:val="0"/>
        <w:tabs>
          <w:tab w:val="left" w:pos="10490"/>
        </w:tabs>
        <w:kinsoku/>
        <w:wordWrap/>
        <w:overflowPunct/>
        <w:topLinePunct w:val="0"/>
        <w:autoSpaceDE w:val="0"/>
        <w:autoSpaceDN w:val="0"/>
        <w:bidi w:val="0"/>
        <w:adjustRightInd w:val="0"/>
        <w:spacing w:line="600" w:lineRule="exact"/>
        <w:ind w:right="0" w:rightChars="0" w:firstLine="707" w:firstLineChars="221"/>
        <w:jc w:val="left"/>
        <w:textAlignment w:val="auto"/>
        <w:rPr>
          <w:rFonts w:ascii="黑体" w:hAnsi="黑体" w:eastAsia="黑体"/>
          <w:bCs/>
          <w:sz w:val="32"/>
          <w:szCs w:val="32"/>
        </w:rPr>
      </w:pPr>
      <w:r>
        <w:rPr>
          <w:rFonts w:hint="eastAsia" w:ascii="黑体" w:hAnsi="黑体" w:eastAsia="黑体"/>
          <w:bCs/>
          <w:sz w:val="32"/>
          <w:szCs w:val="32"/>
        </w:rPr>
        <w:t xml:space="preserve">五、名词解释 </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（一）财政拨款收入：指由市级财政拨款形成的部门收入。按现行管理制度，市级部门预算中反映的财政拨款包括一般公共预算拨款和政府性基金预算拨款。  </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（二）上年结转和结余：指以前年度尚未完成、结转到本年仍按原规定用途继续使用的资金，或项目已完成等产生的结余资金。</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（三）年末结转和结余：指单位按有关规定结转到下年或以后年度继续使用的资金。</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（四）基本支出：指为保障机构正常运转、完成日常工作任务而发生的人员经费和日常公用经费。 </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（五）项目支出：指在基本支出之外为完成特定行政任务和事业发展目标所发生的支出。 </w:t>
      </w:r>
    </w:p>
    <w:p>
      <w:pPr>
        <w:pageBreakBefore w:val="0"/>
        <w:kinsoku/>
        <w:wordWrap/>
        <w:overflowPunct/>
        <w:topLinePunct w:val="0"/>
        <w:bidi w:val="0"/>
        <w:spacing w:line="600" w:lineRule="exact"/>
        <w:ind w:right="0" w:rightChars="0"/>
        <w:textAlignment w:val="auto"/>
        <w:rPr>
          <w:rFonts w:ascii="仿宋" w:hAnsi="仿宋" w:eastAsia="仿宋"/>
          <w:sz w:val="32"/>
          <w:szCs w:val="32"/>
        </w:rPr>
      </w:pPr>
      <w:r>
        <w:rPr>
          <w:rFonts w:hint="eastAsia" w:ascii="仿宋" w:hAnsi="仿宋" w:eastAsia="仿宋" w:cs="仿宋"/>
          <w:sz w:val="32"/>
          <w:szCs w:val="32"/>
        </w:rPr>
        <w:t xml:space="preserve">   </w:t>
      </w:r>
      <w:r>
        <w:rPr>
          <w:rFonts w:hint="eastAsia" w:ascii="仿宋" w:hAnsi="仿宋" w:eastAsia="仿宋"/>
          <w:sz w:val="32"/>
          <w:szCs w:val="32"/>
        </w:rPr>
        <w:t>（六）一般公共服务支出（类）党委办公厅(室）及相关机构事务（款）：反映党委办公厅(室）及相关机构的支出。行政运行（项）：反映行政单位（包括实行公务员管理的事业单位）的基本支出。</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sz w:val="32"/>
          <w:szCs w:val="32"/>
        </w:rPr>
        <w:t>　　</w:t>
      </w:r>
      <w:r>
        <w:rPr>
          <w:rFonts w:hint="eastAsia" w:ascii="仿宋" w:hAnsi="仿宋" w:eastAsia="仿宋" w:cs="仿宋"/>
          <w:sz w:val="32"/>
          <w:szCs w:val="32"/>
        </w:rPr>
        <w:t>（七）教育支出（类）进修及培训（款）培训支出（项）：反映部门安排的用于培训方面的支出。</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（八）社会保障和就业支出（类）：反映政府在社会保障与就业方面的支出。</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1.行政事业单位离退休（款）：反映行政事业单位离退休方面的支出。</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归口管理的行政单位离退休（项）：反映实行归口管理的行政单位（包括实行公务员管理的事业单位）开支的离退休经费。</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2.财政对其他社会保险基金的补助（款）：反映财政对其他社会保险基金的补助支出。</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财政对生育保险基金的补助（项）：反映财政对生育保险基金的补助支出。</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（九）医疗卫生与计划生育支出（类）：反映政府医疗卫生与计划生育管理方面的支出。</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1.行政事业单位医疗（款）：反映行政事业单位医疗方面的支出。</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行政单位医疗（项）：反映财政部门集中安排的行政单位基本医疗保险缴费经费，未参加医疗保险的行政单位的公费医疗经费，按国家规定享受离休人员、红军老战士待遇人员的医疗经费。</w:t>
      </w:r>
    </w:p>
    <w:p>
      <w:pPr>
        <w:pageBreakBefore w:val="0"/>
        <w:kinsoku/>
        <w:wordWrap/>
        <w:overflowPunct/>
        <w:topLinePunct w:val="0"/>
        <w:bidi w:val="0"/>
        <w:spacing w:line="600" w:lineRule="exact"/>
        <w:ind w:right="0" w:rightChars="0" w:firstLine="320" w:firstLineChars="100"/>
        <w:textAlignment w:val="auto"/>
        <w:rPr>
          <w:rFonts w:ascii="仿宋" w:hAnsi="仿宋" w:eastAsia="仿宋" w:cs="仿宋"/>
          <w:sz w:val="32"/>
          <w:szCs w:val="32"/>
        </w:rPr>
      </w:pPr>
      <w:r>
        <w:rPr>
          <w:rFonts w:hint="eastAsia" w:ascii="仿宋" w:hAnsi="仿宋" w:eastAsia="仿宋" w:cs="仿宋"/>
          <w:sz w:val="32"/>
          <w:szCs w:val="32"/>
        </w:rPr>
        <w:t>　公务员医疗补助（项）：反映财政部门集中安排的公务员医疗补助经费。</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（十）住房保障支出（类）住房改革支出（款）住房公积金（项）：反映行政事业单位按人力资源和社会保障部、财政部规定的基本工资和津贴补贴以及规定比例为职工缴纳的住房公积金。</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十一）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十二）“三公”经费：预决算管理的“三公”经费，是指用财政拨款安排的因公出国（境）费、公务用车购置及运行费和公务接待费。其中，因公出国（境）费反映的是工作人员因公务出国（境）的国际旅费、国外城市间交通费、住宿费、伙食费、培训费、公杂费等支出；公务用车购置及运行费反映公务用车购置支出（含车辆购置税）及租用费、燃料费、维修费、过路过桥费、保险费、安全奖励费用等支出；公务接待费反映按规定开支的各类公务接待（含外宾接待）支出。 </w:t>
      </w:r>
    </w:p>
    <w:p>
      <w:pPr>
        <w:pStyle w:val="12"/>
        <w:pageBreakBefore w:val="0"/>
        <w:kinsoku/>
        <w:wordWrap/>
        <w:overflowPunct/>
        <w:topLinePunct w:val="0"/>
        <w:bidi w:val="0"/>
        <w:spacing w:line="600" w:lineRule="exact"/>
        <w:ind w:right="0" w:rightChars="0" w:firstLine="800" w:firstLineChars="250"/>
        <w:textAlignment w:val="auto"/>
        <w:rPr>
          <w:rFonts w:hint="eastAsia" w:ascii="仿宋" w:hAnsi="仿宋" w:eastAsia="仿宋" w:cs="仿宋"/>
          <w:sz w:val="32"/>
          <w:szCs w:val="32"/>
        </w:rPr>
      </w:pPr>
    </w:p>
    <w:p>
      <w:pPr>
        <w:pStyle w:val="10"/>
        <w:pageBreakBefore w:val="0"/>
        <w:kinsoku/>
        <w:wordWrap/>
        <w:overflowPunct/>
        <w:topLinePunct w:val="0"/>
        <w:bidi w:val="0"/>
        <w:spacing w:line="600" w:lineRule="exact"/>
        <w:ind w:right="0" w:rightChars="0" w:firstLine="480"/>
        <w:jc w:val="left"/>
        <w:textAlignment w:val="auto"/>
        <w:rPr>
          <w:color w:val="FF0000"/>
          <w:sz w:val="27"/>
          <w:szCs w:val="27"/>
        </w:rPr>
      </w:pPr>
      <w:r>
        <w:rPr>
          <w:rFonts w:hint="eastAsia" w:ascii="仿宋" w:hAnsi="仿宋" w:eastAsia="仿宋" w:cs="仿宋"/>
          <w:sz w:val="32"/>
          <w:szCs w:val="32"/>
        </w:rPr>
        <w:t xml:space="preserve">附表：  </w:t>
      </w:r>
      <w:r>
        <w:rPr>
          <w:rFonts w:hint="eastAsia" w:ascii="仿宋" w:hAnsi="仿宋" w:eastAsia="仿宋" w:cs="仿宋"/>
          <w:sz w:val="32"/>
          <w:szCs w:val="32"/>
        </w:rPr>
        <w:object>
          <v:shape id="_x0000_i1025" o:spt="75" type="#_x0000_t75" style="height:59.45pt;width:66pt;" o:ole="t" filled="f" o:preferrelative="t" stroked="f" coordsize="21600,21600">
            <v:path/>
            <v:fill on="f" focussize="0,0"/>
            <v:stroke on="f"/>
            <v:imagedata r:id="rId5" o:title=""/>
            <o:lock v:ext="edit" aspectratio="t"/>
            <w10:wrap type="none"/>
            <w10:anchorlock/>
          </v:shape>
          <o:OLEObject Type="Embed" ProgID="Package" ShapeID="_x0000_i1025" DrawAspect="Icon" ObjectID="_1468075725" r:id="rId4">
            <o:LockedField>false</o:LockedField>
          </o:OLEObject>
        </w:object>
      </w:r>
      <w:r>
        <w:rPr>
          <w:rFonts w:hint="eastAsia" w:ascii="仿宋" w:hAnsi="仿宋" w:eastAsia="仿宋" w:cs="仿宋"/>
          <w:sz w:val="32"/>
          <w:szCs w:val="32"/>
        </w:rPr>
        <w:t xml:space="preserve">    </w:t>
      </w:r>
    </w:p>
    <w:p>
      <w:pPr>
        <w:pStyle w:val="10"/>
        <w:pageBreakBefore w:val="0"/>
        <w:kinsoku/>
        <w:wordWrap/>
        <w:overflowPunct/>
        <w:topLinePunct w:val="0"/>
        <w:bidi w:val="0"/>
        <w:spacing w:line="600" w:lineRule="exact"/>
        <w:ind w:right="0" w:rightChars="0"/>
        <w:textAlignment w:val="auto"/>
        <w:rPr>
          <w:rFonts w:hint="eastAsia" w:ascii="仿宋" w:hAnsi="仿宋" w:eastAsia="仿宋" w:cs="仿宋"/>
          <w:color w:val="000000"/>
          <w:sz w:val="32"/>
          <w:szCs w:val="32"/>
        </w:rPr>
      </w:pPr>
      <w:r>
        <w:rPr>
          <w:rFonts w:hint="eastAsia"/>
          <w:color w:val="FF0000"/>
          <w:sz w:val="27"/>
          <w:szCs w:val="27"/>
        </w:rPr>
        <w:t xml:space="preserve">                              </w:t>
      </w:r>
      <w:r>
        <w:rPr>
          <w:rFonts w:hint="eastAsia" w:ascii="仿宋" w:hAnsi="仿宋" w:eastAsia="仿宋" w:cs="仿宋"/>
          <w:color w:val="000000"/>
          <w:sz w:val="32"/>
          <w:szCs w:val="32"/>
        </w:rPr>
        <w:t xml:space="preserve">  </w:t>
      </w:r>
    </w:p>
    <w:p>
      <w:pPr>
        <w:pStyle w:val="10"/>
        <w:pageBreakBefore w:val="0"/>
        <w:kinsoku/>
        <w:wordWrap/>
        <w:overflowPunct/>
        <w:topLinePunct w:val="0"/>
        <w:bidi w:val="0"/>
        <w:spacing w:line="600" w:lineRule="exact"/>
        <w:ind w:right="0" w:rightChars="0" w:firstLine="3520" w:firstLineChars="1100"/>
        <w:textAlignment w:val="auto"/>
        <w:rPr>
          <w:rFonts w:hint="eastAsia" w:ascii="仿宋" w:hAnsi="仿宋" w:eastAsia="仿宋" w:cs="仿宋"/>
          <w:color w:val="000000"/>
          <w:sz w:val="32"/>
          <w:szCs w:val="32"/>
          <w:lang w:val="en-US" w:eastAsia="zh-CN"/>
        </w:rPr>
      </w:pPr>
    </w:p>
    <w:p>
      <w:pPr>
        <w:pStyle w:val="10"/>
        <w:pageBreakBefore w:val="0"/>
        <w:kinsoku/>
        <w:wordWrap/>
        <w:overflowPunct/>
        <w:topLinePunct w:val="0"/>
        <w:bidi w:val="0"/>
        <w:spacing w:line="600" w:lineRule="exact"/>
        <w:ind w:right="0" w:rightChars="0" w:firstLine="3520" w:firstLineChars="1100"/>
        <w:textAlignment w:val="auto"/>
        <w:rPr>
          <w:rFonts w:hint="eastAsia" w:ascii="仿宋" w:hAnsi="仿宋" w:eastAsia="仿宋" w:cs="仿宋"/>
          <w:color w:val="000000"/>
          <w:sz w:val="32"/>
          <w:szCs w:val="32"/>
          <w:lang w:val="en-US" w:eastAsia="zh-CN"/>
        </w:rPr>
      </w:pPr>
    </w:p>
    <w:p>
      <w:pPr>
        <w:pStyle w:val="10"/>
        <w:pageBreakBefore w:val="0"/>
        <w:kinsoku/>
        <w:wordWrap/>
        <w:overflowPunct/>
        <w:topLinePunct w:val="0"/>
        <w:bidi w:val="0"/>
        <w:spacing w:line="600" w:lineRule="exact"/>
        <w:ind w:right="0" w:rightChars="0" w:firstLine="3520" w:firstLineChars="1100"/>
        <w:textAlignment w:val="auto"/>
        <w:rPr>
          <w:rFonts w:hint="eastAsia" w:ascii="仿宋" w:hAnsi="仿宋" w:eastAsia="仿宋" w:cs="仿宋"/>
          <w:color w:val="000000"/>
          <w:sz w:val="32"/>
          <w:szCs w:val="32"/>
          <w:lang w:val="en-US" w:eastAsia="zh-CN"/>
        </w:rPr>
      </w:pPr>
    </w:p>
    <w:p>
      <w:pPr>
        <w:pStyle w:val="10"/>
        <w:pageBreakBefore w:val="0"/>
        <w:kinsoku/>
        <w:wordWrap/>
        <w:overflowPunct/>
        <w:topLinePunct w:val="0"/>
        <w:bidi w:val="0"/>
        <w:spacing w:line="600" w:lineRule="exact"/>
        <w:ind w:right="0" w:rightChars="0" w:firstLine="3520" w:firstLineChars="1100"/>
        <w:textAlignment w:val="auto"/>
        <w:rPr>
          <w:rFonts w:hint="eastAsia" w:ascii="仿宋" w:hAnsi="仿宋" w:eastAsia="仿宋" w:cs="仿宋"/>
          <w:color w:val="000000"/>
          <w:sz w:val="32"/>
          <w:szCs w:val="32"/>
          <w:lang w:val="en-US" w:eastAsia="zh-CN"/>
        </w:rPr>
      </w:pPr>
    </w:p>
    <w:p>
      <w:pPr>
        <w:pStyle w:val="10"/>
        <w:pageBreakBefore w:val="0"/>
        <w:kinsoku/>
        <w:wordWrap/>
        <w:overflowPunct/>
        <w:topLinePunct w:val="0"/>
        <w:bidi w:val="0"/>
        <w:spacing w:line="600" w:lineRule="exact"/>
        <w:ind w:right="0" w:rightChars="0" w:firstLine="3520" w:firstLineChars="1100"/>
        <w:textAlignment w:val="auto"/>
        <w:rPr>
          <w:rFonts w:hint="eastAsia" w:ascii="仿宋" w:hAnsi="仿宋" w:eastAsia="仿宋" w:cs="仿宋"/>
          <w:color w:val="000000"/>
          <w:sz w:val="32"/>
          <w:szCs w:val="32"/>
          <w:lang w:val="en-US" w:eastAsia="zh-CN"/>
        </w:rPr>
      </w:pPr>
    </w:p>
    <w:p>
      <w:pPr>
        <w:pStyle w:val="10"/>
        <w:pageBreakBefore w:val="0"/>
        <w:kinsoku/>
        <w:wordWrap/>
        <w:overflowPunct/>
        <w:topLinePunct w:val="0"/>
        <w:bidi w:val="0"/>
        <w:spacing w:line="600" w:lineRule="exact"/>
        <w:ind w:right="0" w:rightChars="0" w:firstLine="3520" w:firstLineChars="1100"/>
        <w:textAlignment w:val="auto"/>
        <w:rPr>
          <w:rFonts w:hint="eastAsia" w:ascii="仿宋" w:hAnsi="仿宋" w:eastAsia="仿宋" w:cs="仿宋"/>
          <w:color w:val="000000"/>
          <w:sz w:val="32"/>
          <w:szCs w:val="32"/>
          <w:lang w:val="en-US" w:eastAsia="zh-CN"/>
        </w:rPr>
      </w:pPr>
      <w:bookmarkStart w:id="0" w:name="_GoBack"/>
      <w:bookmarkEnd w:id="0"/>
      <w:r>
        <w:rPr>
          <w:rFonts w:hint="eastAsia" w:ascii="仿宋" w:hAnsi="仿宋" w:eastAsia="仿宋" w:cs="仿宋"/>
          <w:color w:val="000000"/>
          <w:sz w:val="32"/>
          <w:szCs w:val="32"/>
          <w:lang w:val="en-US" w:eastAsia="zh-CN"/>
        </w:rPr>
        <w:t>兰州市机构编制委员会办公室</w:t>
      </w:r>
    </w:p>
    <w:p>
      <w:pPr>
        <w:pStyle w:val="10"/>
        <w:pageBreakBefore w:val="0"/>
        <w:kinsoku/>
        <w:wordWrap/>
        <w:overflowPunct/>
        <w:topLinePunct w:val="0"/>
        <w:bidi w:val="0"/>
        <w:spacing w:line="600" w:lineRule="exact"/>
        <w:ind w:right="0" w:rightChars="0" w:firstLine="3520" w:firstLineChars="11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2018年2月7日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3C3E0"/>
    <w:multiLevelType w:val="singleLevel"/>
    <w:tmpl w:val="5A73C3E0"/>
    <w:lvl w:ilvl="0" w:tentative="0">
      <w:start w:val="3"/>
      <w:numFmt w:val="chineseCounting"/>
      <w:suff w:val="nothing"/>
      <w:lvlText w:val="%1、"/>
      <w:lvlJc w:val="left"/>
    </w:lvl>
  </w:abstractNum>
  <w:abstractNum w:abstractNumId="1">
    <w:nsid w:val="5A796D1A"/>
    <w:multiLevelType w:val="singleLevel"/>
    <w:tmpl w:val="5A796D1A"/>
    <w:lvl w:ilvl="0" w:tentative="0">
      <w:start w:val="1"/>
      <w:numFmt w:val="decimal"/>
      <w:suff w:val="nothing"/>
      <w:lvlText w:val="（%1）"/>
      <w:lvlJc w:val="left"/>
    </w:lvl>
  </w:abstractNum>
  <w:abstractNum w:abstractNumId="2">
    <w:nsid w:val="5A798F58"/>
    <w:multiLevelType w:val="singleLevel"/>
    <w:tmpl w:val="5A798F58"/>
    <w:lvl w:ilvl="0" w:tentative="0">
      <w:start w:val="1"/>
      <w:numFmt w:val="decimal"/>
      <w:suff w:val="nothing"/>
      <w:lvlText w:val="（%1）"/>
      <w:lvlJc w:val="left"/>
    </w:lvl>
  </w:abstractNum>
  <w:abstractNum w:abstractNumId="3">
    <w:nsid w:val="76F85A8C"/>
    <w:multiLevelType w:val="multilevel"/>
    <w:tmpl w:val="76F85A8C"/>
    <w:lvl w:ilvl="0" w:tentative="0">
      <w:start w:val="1"/>
      <w:numFmt w:val="decimal"/>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3EE"/>
    <w:rsid w:val="000129B9"/>
    <w:rsid w:val="002562B6"/>
    <w:rsid w:val="002C38FD"/>
    <w:rsid w:val="0032072C"/>
    <w:rsid w:val="00430E01"/>
    <w:rsid w:val="006873EE"/>
    <w:rsid w:val="007F6EAE"/>
    <w:rsid w:val="008F48F8"/>
    <w:rsid w:val="009357E1"/>
    <w:rsid w:val="00B057E2"/>
    <w:rsid w:val="00F24E40"/>
    <w:rsid w:val="00F9252B"/>
    <w:rsid w:val="01F03C9B"/>
    <w:rsid w:val="020564D3"/>
    <w:rsid w:val="02BE58F5"/>
    <w:rsid w:val="05D05E70"/>
    <w:rsid w:val="07834F4B"/>
    <w:rsid w:val="08503CB5"/>
    <w:rsid w:val="08F32E8B"/>
    <w:rsid w:val="09155376"/>
    <w:rsid w:val="09B20F89"/>
    <w:rsid w:val="0B8F70D2"/>
    <w:rsid w:val="0D980C99"/>
    <w:rsid w:val="10217790"/>
    <w:rsid w:val="113C38D1"/>
    <w:rsid w:val="12221C35"/>
    <w:rsid w:val="13533A10"/>
    <w:rsid w:val="17291867"/>
    <w:rsid w:val="17672440"/>
    <w:rsid w:val="19BA047A"/>
    <w:rsid w:val="1B694DA1"/>
    <w:rsid w:val="1B7F7FCB"/>
    <w:rsid w:val="1DA01609"/>
    <w:rsid w:val="1DAB28C7"/>
    <w:rsid w:val="1E7039F2"/>
    <w:rsid w:val="20B61FF6"/>
    <w:rsid w:val="23AE1D11"/>
    <w:rsid w:val="270A710B"/>
    <w:rsid w:val="276F59C2"/>
    <w:rsid w:val="29603FBA"/>
    <w:rsid w:val="2D152ED6"/>
    <w:rsid w:val="304E4D0B"/>
    <w:rsid w:val="306857B1"/>
    <w:rsid w:val="309409C2"/>
    <w:rsid w:val="32062934"/>
    <w:rsid w:val="33002EEA"/>
    <w:rsid w:val="35177F16"/>
    <w:rsid w:val="35CC672C"/>
    <w:rsid w:val="36966341"/>
    <w:rsid w:val="373807D4"/>
    <w:rsid w:val="38CB4682"/>
    <w:rsid w:val="39FB1C7D"/>
    <w:rsid w:val="3AAB2107"/>
    <w:rsid w:val="3C6B5AD6"/>
    <w:rsid w:val="3EC20CC3"/>
    <w:rsid w:val="3F922632"/>
    <w:rsid w:val="40CC71EF"/>
    <w:rsid w:val="417013F6"/>
    <w:rsid w:val="41BC0873"/>
    <w:rsid w:val="41BF5B07"/>
    <w:rsid w:val="43BF69EC"/>
    <w:rsid w:val="43F25D01"/>
    <w:rsid w:val="459B60DF"/>
    <w:rsid w:val="46840879"/>
    <w:rsid w:val="46D87B15"/>
    <w:rsid w:val="47296271"/>
    <w:rsid w:val="4786282F"/>
    <w:rsid w:val="47E61AFD"/>
    <w:rsid w:val="485B09B3"/>
    <w:rsid w:val="48C13C1C"/>
    <w:rsid w:val="48D17FE2"/>
    <w:rsid w:val="496A7983"/>
    <w:rsid w:val="49E00C5C"/>
    <w:rsid w:val="4B182958"/>
    <w:rsid w:val="4BAB26D5"/>
    <w:rsid w:val="4E8B3DEF"/>
    <w:rsid w:val="5235528A"/>
    <w:rsid w:val="535566D8"/>
    <w:rsid w:val="546978E1"/>
    <w:rsid w:val="54B47E19"/>
    <w:rsid w:val="55FC10CE"/>
    <w:rsid w:val="56C43FA0"/>
    <w:rsid w:val="56D75DB0"/>
    <w:rsid w:val="579A0688"/>
    <w:rsid w:val="5803054D"/>
    <w:rsid w:val="589B5FE5"/>
    <w:rsid w:val="5A2606C1"/>
    <w:rsid w:val="5A5F529A"/>
    <w:rsid w:val="5A8310FA"/>
    <w:rsid w:val="5AB51882"/>
    <w:rsid w:val="5D551045"/>
    <w:rsid w:val="5F425E5D"/>
    <w:rsid w:val="5F9D0163"/>
    <w:rsid w:val="60775AC3"/>
    <w:rsid w:val="619920A7"/>
    <w:rsid w:val="621A0537"/>
    <w:rsid w:val="65431D76"/>
    <w:rsid w:val="68372B18"/>
    <w:rsid w:val="68B52EF4"/>
    <w:rsid w:val="68BF55E3"/>
    <w:rsid w:val="69E91088"/>
    <w:rsid w:val="6BD74168"/>
    <w:rsid w:val="6D8777E0"/>
    <w:rsid w:val="6EB16BA2"/>
    <w:rsid w:val="6FFD624F"/>
    <w:rsid w:val="76BF69C3"/>
    <w:rsid w:val="774960B6"/>
    <w:rsid w:val="779D6F0B"/>
    <w:rsid w:val="77E07341"/>
    <w:rsid w:val="7807712A"/>
    <w:rsid w:val="78D96574"/>
    <w:rsid w:val="79074984"/>
    <w:rsid w:val="7985538D"/>
    <w:rsid w:val="7A2C1131"/>
    <w:rsid w:val="7A63772F"/>
    <w:rsid w:val="7CF306D6"/>
    <w:rsid w:val="7CFC50CC"/>
    <w:rsid w:val="7D040C6A"/>
    <w:rsid w:val="7F337F4E"/>
    <w:rsid w:val="7F8D6DE9"/>
    <w:rsid w:val="7FA85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Cambria" w:hAnsi="Cambria" w:cs="Times New Roman"/>
      <w:b/>
      <w:bCs/>
      <w:sz w:val="32"/>
      <w:szCs w:val="32"/>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jc w:val="left"/>
    </w:pPr>
    <w:rPr>
      <w:rFonts w:ascii="宋体" w:hAnsi="宋体" w:cs="宋体"/>
      <w:kern w:val="0"/>
      <w:sz w:val="24"/>
      <w:szCs w:val="24"/>
    </w:rPr>
  </w:style>
  <w:style w:type="character" w:styleId="7">
    <w:name w:val="Strong"/>
    <w:qFormat/>
    <w:uiPriority w:val="22"/>
    <w:rPr>
      <w:b/>
      <w:bCs/>
    </w:rPr>
  </w:style>
  <w:style w:type="character" w:styleId="8">
    <w:name w:val="page number"/>
    <w:unhideWhenUsed/>
    <w:qFormat/>
    <w:uiPriority w:val="0"/>
    <w:rPr>
      <w:rFonts w:cs="Times New Roman"/>
    </w:rPr>
  </w:style>
  <w:style w:type="paragraph" w:customStyle="1" w:styleId="10">
    <w:name w:val="p0"/>
    <w:basedOn w:val="1"/>
    <w:qFormat/>
    <w:uiPriority w:val="0"/>
    <w:pPr>
      <w:widowControl/>
    </w:pPr>
    <w:rPr>
      <w:rFonts w:ascii="宋体" w:hAnsi="宋体" w:cs="宋体"/>
      <w:kern w:val="0"/>
      <w:szCs w:val="21"/>
    </w:rPr>
  </w:style>
  <w:style w:type="paragraph" w:customStyle="1" w:styleId="11">
    <w:name w:val="p15"/>
    <w:basedOn w:val="1"/>
    <w:qFormat/>
    <w:uiPriority w:val="0"/>
    <w:pPr>
      <w:widowControl/>
    </w:pPr>
    <w:rPr>
      <w:rFonts w:ascii="宋体" w:hAnsi="宋体" w:cs="宋体"/>
      <w:kern w:val="0"/>
      <w:szCs w:val="21"/>
    </w:rPr>
  </w:style>
  <w:style w:type="paragraph" w:customStyle="1" w:styleId="12">
    <w:name w:val="p16"/>
    <w:basedOn w:val="1"/>
    <w:qFormat/>
    <w:uiPriority w:val="0"/>
    <w:pPr>
      <w:widowControl/>
    </w:pPr>
    <w:rPr>
      <w:rFonts w:ascii="宋体" w:hAnsi="宋体" w:cs="宋体"/>
      <w:kern w:val="0"/>
      <w:szCs w:val="21"/>
    </w:rPr>
  </w:style>
  <w:style w:type="character" w:customStyle="1" w:styleId="13">
    <w:name w:val="页眉 Char"/>
    <w:link w:val="4"/>
    <w:qFormat/>
    <w:uiPriority w:val="0"/>
    <w:rPr>
      <w:rFonts w:ascii="Calibri" w:hAnsi="Calibri" w:cs="黑体"/>
      <w:kern w:val="2"/>
      <w:sz w:val="18"/>
      <w:szCs w:val="18"/>
    </w:rPr>
  </w:style>
  <w:style w:type="character" w:customStyle="1" w:styleId="14">
    <w:name w:val="标题 2 Char"/>
    <w:link w:val="2"/>
    <w:qFormat/>
    <w:uiPriority w:val="9"/>
    <w:rPr>
      <w:rFonts w:ascii="Cambria" w:hAnsi="Cambria"/>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747</Words>
  <Characters>4259</Characters>
  <Lines>35</Lines>
  <Paragraphs>9</Paragraphs>
  <ScaleCrop>false</ScaleCrop>
  <LinksUpToDate>false</LinksUpToDate>
  <CharactersWithSpaces>4997</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2016-12-22T08:36:00Z</dcterms:created>
  <dc:creator>admin</dc:creator>
  <cp:lastModifiedBy>Administrator</cp:lastModifiedBy>
  <cp:lastPrinted>2018-02-07T01:30:00Z</cp:lastPrinted>
  <dcterms:modified xsi:type="dcterms:W3CDTF">2018-02-09T04:53:34Z</dcterms:modified>
  <dc:title>部门名称</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